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DE03" w14:textId="4086E4B8" w:rsidR="009303D9" w:rsidRPr="009230AF" w:rsidRDefault="009230AF" w:rsidP="009230AF">
      <w:pPr>
        <w:pStyle w:val="papertitle"/>
        <w:spacing w:before="100" w:beforeAutospacing="1" w:after="100" w:afterAutospacing="1"/>
      </w:pPr>
      <w:r>
        <w:t>Optimizing BERT Models with Fine-Tuning for Semantic Sentence Similarity</w:t>
      </w:r>
    </w:p>
    <w:p w14:paraId="57DD08E2" w14:textId="77777777" w:rsidR="00D7522C" w:rsidRDefault="00D7522C" w:rsidP="003B4E04">
      <w:pPr>
        <w:pStyle w:val="Author"/>
        <w:spacing w:before="100" w:beforeAutospacing="1" w:after="100" w:afterAutospacing="1" w:line="120" w:lineRule="auto"/>
        <w:rPr>
          <w:sz w:val="16"/>
          <w:szCs w:val="16"/>
        </w:rPr>
      </w:pPr>
    </w:p>
    <w:p w14:paraId="55AAA03D"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11"/>
          <w:pgSz w:w="11906" w:h="16838" w:code="9"/>
          <w:pgMar w:top="540" w:right="893" w:bottom="1440" w:left="893" w:header="720" w:footer="720" w:gutter="0"/>
          <w:cols w:space="720"/>
          <w:titlePg/>
          <w:docGrid w:linePitch="360"/>
        </w:sectPr>
      </w:pPr>
    </w:p>
    <w:p w14:paraId="7C4AE41D" w14:textId="7B3B05C8" w:rsidR="001A3B3D" w:rsidRPr="00F847A6" w:rsidRDefault="009230AF" w:rsidP="009230AF">
      <w:pPr>
        <w:pStyle w:val="Author"/>
        <w:spacing w:before="100" w:beforeAutospacing="1"/>
        <w:rPr>
          <w:sz w:val="18"/>
          <w:szCs w:val="18"/>
        </w:rPr>
      </w:pPr>
      <w:r>
        <w:rPr>
          <w:sz w:val="18"/>
          <w:szCs w:val="18"/>
        </w:rPr>
        <w:t>Charles Aaron Sarmiento</w:t>
      </w:r>
      <w:r w:rsidR="001A3B3D" w:rsidRPr="00F847A6">
        <w:rPr>
          <w:sz w:val="18"/>
          <w:szCs w:val="18"/>
        </w:rPr>
        <w:br/>
      </w:r>
      <w:r w:rsidRPr="009230AF">
        <w:rPr>
          <w:i/>
          <w:iCs/>
          <w:sz w:val="18"/>
          <w:szCs w:val="18"/>
        </w:rPr>
        <w:t>ITE Elective IV – 401I</w:t>
      </w:r>
      <w:r w:rsidR="00D72D06" w:rsidRPr="00F847A6">
        <w:rPr>
          <w:sz w:val="18"/>
          <w:szCs w:val="18"/>
        </w:rPr>
        <w:br/>
      </w:r>
      <w:r w:rsidRPr="009230AF">
        <w:rPr>
          <w:i/>
          <w:iCs/>
          <w:sz w:val="18"/>
          <w:szCs w:val="18"/>
        </w:rPr>
        <w:t>Jose Rizal University</w:t>
      </w:r>
      <w:r w:rsidR="001A3B3D" w:rsidRPr="00F847A6">
        <w:rPr>
          <w:i/>
          <w:sz w:val="18"/>
          <w:szCs w:val="18"/>
        </w:rPr>
        <w:br/>
      </w:r>
      <w:r>
        <w:rPr>
          <w:sz w:val="18"/>
          <w:szCs w:val="18"/>
        </w:rPr>
        <w:t>Mandaluyong City, Philippines</w:t>
      </w:r>
      <w:r w:rsidR="001A3B3D" w:rsidRPr="00F847A6">
        <w:rPr>
          <w:sz w:val="18"/>
          <w:szCs w:val="18"/>
        </w:rPr>
        <w:br/>
      </w:r>
      <w:r>
        <w:rPr>
          <w:sz w:val="18"/>
          <w:szCs w:val="18"/>
        </w:rPr>
        <w:t>charlesaaron.sarmiento@my.jru.edu</w:t>
      </w:r>
    </w:p>
    <w:p w14:paraId="12013599" w14:textId="77777777" w:rsidR="009230AF" w:rsidRDefault="009230AF" w:rsidP="00447BB9">
      <w:pPr>
        <w:pStyle w:val="Author"/>
        <w:spacing w:before="100" w:beforeAutospacing="1"/>
        <w:sectPr w:rsidR="009230AF" w:rsidSect="009230AF">
          <w:type w:val="continuous"/>
          <w:pgSz w:w="11906" w:h="16838" w:code="9"/>
          <w:pgMar w:top="450" w:right="893" w:bottom="1440" w:left="893" w:header="720" w:footer="720" w:gutter="0"/>
          <w:cols w:space="720"/>
          <w:docGrid w:linePitch="360"/>
        </w:sectPr>
      </w:pPr>
    </w:p>
    <w:p w14:paraId="601E36ED" w14:textId="77777777" w:rsidR="00447BB9" w:rsidRDefault="00447BB9" w:rsidP="009230AF">
      <w:pPr>
        <w:pStyle w:val="Author"/>
        <w:spacing w:before="100" w:beforeAutospacing="1"/>
      </w:pPr>
    </w:p>
    <w:p w14:paraId="022E0ED3"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3BFB5745"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44FC8C3" w14:textId="617A1B2D" w:rsidR="004D72B5" w:rsidRDefault="009303D9" w:rsidP="00972203">
      <w:pPr>
        <w:pStyle w:val="Abstract"/>
        <w:rPr>
          <w:i/>
          <w:iCs/>
        </w:rPr>
      </w:pPr>
      <w:r>
        <w:rPr>
          <w:i/>
          <w:iCs/>
        </w:rPr>
        <w:t>Abstract</w:t>
      </w:r>
      <w:r>
        <w:t>—</w:t>
      </w:r>
      <w:r w:rsidR="0068476E" w:rsidRPr="0068476E">
        <w:t xml:space="preserve">The adoption of large-scale pre-trained language models (PLMs), particularly BERT and its efficient variants like </w:t>
      </w:r>
      <w:proofErr w:type="spellStart"/>
      <w:r w:rsidR="0068476E" w:rsidRPr="0068476E">
        <w:t>MiniLM</w:t>
      </w:r>
      <w:proofErr w:type="spellEnd"/>
      <w:r w:rsidR="0068476E" w:rsidRPr="0068476E">
        <w:t xml:space="preserve">, has established fine-tuning as the standard for achieving state-of-the-art results in Natural Language Processing (NLP). This paper investigates the critical process of hyperparameter optimization during the fine-tuning of the all-MiniLM-L6-v2 model for the specific task of semantic sentence similarity. The primary goal is to develop a highly effective computational tool to address information overload faced by students in modern education, enabling them to cluster concepts and assess semantic equivalence in dense academic material. Through systematic experimentation across varying learning rates, optimizers (Adam, </w:t>
      </w:r>
      <w:proofErr w:type="spellStart"/>
      <w:r w:rsidR="0068476E" w:rsidRPr="0068476E">
        <w:t>AdamW</w:t>
      </w:r>
      <w:proofErr w:type="spellEnd"/>
      <w:r w:rsidR="0068476E" w:rsidRPr="0068476E">
        <w:t xml:space="preserve">, SGD), and warmup schedules, we determined the optimal configuration. Our results demonstrate that the combination of a $2\text{e-}5$ learning rate, the </w:t>
      </w:r>
      <w:proofErr w:type="spellStart"/>
      <w:r w:rsidR="0068476E" w:rsidRPr="0068476E">
        <w:t>AdamW</w:t>
      </w:r>
      <w:proofErr w:type="spellEnd"/>
      <w:r w:rsidR="0068476E" w:rsidRPr="0068476E">
        <w:t xml:space="preserve"> optimizer, and a $0.2$ warmup ratio yields the highest semantic correlation, achieving a Spearman coefficient of 0.8570 and a Pearson coefficient of 0.9131. The analysis confirms the superior regularization properties of </w:t>
      </w:r>
      <w:proofErr w:type="spellStart"/>
      <w:r w:rsidR="0068476E" w:rsidRPr="0068476E">
        <w:t>AdamW</w:t>
      </w:r>
      <w:proofErr w:type="spellEnd"/>
      <w:r w:rsidR="0068476E" w:rsidRPr="0068476E">
        <w:t xml:space="preserve"> and the critical stabilizing role of the warmup phase in preserving pre-trained knowledge, offering concrete guidance for maximizing model generalization in transfer learning applications for the educational domain.</w:t>
      </w:r>
    </w:p>
    <w:p w14:paraId="73D5B163" w14:textId="055077C9" w:rsidR="009303D9" w:rsidRPr="004D72B5" w:rsidRDefault="004D72B5" w:rsidP="00972203">
      <w:pPr>
        <w:pStyle w:val="Keywords"/>
      </w:pPr>
      <w:r w:rsidRPr="004D72B5">
        <w:t>Keywords—</w:t>
      </w:r>
      <w:r w:rsidR="0068476E" w:rsidRPr="0068476E">
        <w:t xml:space="preserve">Semantic Sentence Similarity, BERT, </w:t>
      </w:r>
      <w:proofErr w:type="spellStart"/>
      <w:r w:rsidR="0068476E" w:rsidRPr="0068476E">
        <w:t>MiniLM</w:t>
      </w:r>
      <w:proofErr w:type="spellEnd"/>
      <w:r w:rsidR="0068476E" w:rsidRPr="0068476E">
        <w:t xml:space="preserve">, Fine-Tuning, Hyperparameter Optimization, Transfer Learning, Information Overload, Educational Technology, </w:t>
      </w:r>
      <w:proofErr w:type="spellStart"/>
      <w:r w:rsidR="0068476E" w:rsidRPr="0068476E">
        <w:t>AdamW</w:t>
      </w:r>
      <w:proofErr w:type="spellEnd"/>
      <w:r w:rsidR="0068476E" w:rsidRPr="0068476E">
        <w:t>.</w:t>
      </w:r>
    </w:p>
    <w:p w14:paraId="680306EB" w14:textId="6EFE3A0E" w:rsidR="009303D9" w:rsidRPr="00D632BE" w:rsidRDefault="009303D9" w:rsidP="006B6B66">
      <w:pPr>
        <w:pStyle w:val="Heading1"/>
      </w:pPr>
      <w:r w:rsidRPr="00D632BE">
        <w:t>Introduction</w:t>
      </w:r>
    </w:p>
    <w:p w14:paraId="58C972F9" w14:textId="6568141B" w:rsidR="001C0DC6" w:rsidRDefault="001C0DC6" w:rsidP="001C0DC6">
      <w:pPr>
        <w:pStyle w:val="BodyText"/>
      </w:pPr>
      <w:r w:rsidRPr="001C0DC6">
        <w:t>Large-scale pre-trained language models have brought a revolution to the field of NLP, and among them, the Bidirectional Encoder Representations from Transformers model stands out as a foundational innovation. The core strength of BERT is its deep, bidirectional understanding of language context, learned during unsupervised training on huge text corpora. This extensive pre-training generates a robust set of universal language representations, effectively encoding syntactic and semantic knowledge. In order to translate this general knowledge into high performance on some particular downstream task, such as sentiment analysis, named-entity recognition, or text classification, the model needs to be fine-tuned. This transfer learning paradigm, where a model pre-trained on a generic task is slightly adjusted using task-specific labeled data, has nowadays become the standard strategy for achieving the state-of-the-art in broad spectrum NLP applications, proving significantly more efficient compared to training deep models from scratch</w:t>
      </w:r>
      <w:r w:rsidR="00583003">
        <w:t xml:space="preserve"> [1]</w:t>
      </w:r>
      <w:r w:rsidRPr="001C0DC6">
        <w:t>.</w:t>
      </w:r>
    </w:p>
    <w:p w14:paraId="00F0AD5A" w14:textId="7998BF52" w:rsidR="00BF57A5" w:rsidRPr="001C0DC6" w:rsidRDefault="00BF57A5" w:rsidP="001C0DC6">
      <w:pPr>
        <w:pStyle w:val="BodyText"/>
      </w:pPr>
      <w:r w:rsidRPr="00BF57A5">
        <w:t xml:space="preserve">In contrast, the successful deployment of semantic similarity tools directly addresses one of the most important challenges of students in modern education: information overload. Students constantly face overwhelming volumes of lecture notes, dense textbooks, and voluminous research </w:t>
      </w:r>
      <w:r w:rsidRPr="00BF57A5">
        <w:t>papers in modern education. Consequently, identifying key concepts, connecting related ideas, and prioritizing study material pose a major challenge to effective learning. We strive to equip students with a powerful computational tool by constructing a very accurate semantic sentence similarity model that can automatically match student queries to the most relevant sentences from a large body of material, cluster related concepts for easier review, and assess the degree of similarity between their own generated summaries and the original source material, thus easing their studies and enhancing learning efficiency.</w:t>
      </w:r>
    </w:p>
    <w:p w14:paraId="1096D53C" w14:textId="77777777" w:rsidR="00351835" w:rsidRPr="00351835" w:rsidRDefault="00351835" w:rsidP="00351835">
      <w:pPr>
        <w:pStyle w:val="BodyText"/>
        <w:rPr>
          <w:smallCaps/>
          <w:noProof/>
          <w:spacing w:val="0"/>
          <w:lang w:val="en-US" w:eastAsia="en-US"/>
        </w:rPr>
      </w:pPr>
      <w:r w:rsidRPr="00351835">
        <w:t>This paper focuses on one important aspect of this paradigm: strategic fine-tuning of BERT together with systematic hyperparameter experimentation, specifically for the task of semantic sentence similarity. Semantic sentence similarity-which entails determining the degree to which two sentences are semantically equivalent-is a fundamental yet challenging problem in NLP, finding applications in question answering, paraphrasing, and information retrieval. Although the basic process of fine-tuning-adapting the pre-trained BERT weights with similarity-based datasets (e.g., Siamese networks or cross-encoders)-is required, its eventual success strongly relies on the configuration of optimal training parameters. Factors such as learning rate, number of training epochs, and batch size critically influence the model's ability to converge effectively without overfitting small datasets. Misconfigured hyperparameters result in instability, slow convergence, or failure to leverage the generalized knowledge within pre-trained weights completely. In our work, we explore the interaction of the fine-tuning process with these critical training controls. By empirically assessing various combinations of hyperparameters on established benchmarks for semantic sentence similarity, we seek to offer concrete guidance for practitioners who aim at maximizing performance and generalization from BERT models.</w:t>
      </w:r>
    </w:p>
    <w:p w14:paraId="7FAAB798" w14:textId="2C7E9E97" w:rsidR="009303D9" w:rsidRDefault="006451B2" w:rsidP="001C0DC6">
      <w:pPr>
        <w:pStyle w:val="Heading1"/>
      </w:pPr>
      <w:r>
        <w:t>Methodology</w:t>
      </w:r>
    </w:p>
    <w:p w14:paraId="358BCDF3" w14:textId="7EF8071B" w:rsidR="00D36D23" w:rsidRDefault="00D36D23" w:rsidP="00D36D23">
      <w:pPr>
        <w:pStyle w:val="Heading2"/>
      </w:pPr>
      <w:r>
        <w:t xml:space="preserve">Data </w:t>
      </w:r>
      <w:r w:rsidR="00BD29F9">
        <w:t>Preparatio</w:t>
      </w:r>
      <w:r w:rsidR="00656C8A">
        <w:t>n</w:t>
      </w:r>
    </w:p>
    <w:p w14:paraId="7BAAA564" w14:textId="537CF06D" w:rsidR="00656C8A" w:rsidRPr="00656C8A" w:rsidRDefault="00656C8A" w:rsidP="00656C8A">
      <w:pPr>
        <w:pStyle w:val="BodyText"/>
      </w:pPr>
      <w:r w:rsidRPr="00656C8A">
        <w:t>Training and fine-tuning start from the Blaise-g/</w:t>
      </w:r>
      <w:proofErr w:type="spellStart"/>
      <w:r w:rsidRPr="00656C8A">
        <w:t>scitldr</w:t>
      </w:r>
      <w:proofErr w:type="spellEnd"/>
      <w:r w:rsidRPr="00656C8A">
        <w:t xml:space="preserve"> dataset obtained directly from the Hugging Face Hub. Although that dataset was originally constructed for an extreme summarization task, namely to generate "Too Long; Didn't Read" summaries for scientific papers, it contains everything necessary in the structure for a semantic similarity task. The dataset provides pairs of text: the long-form scientific abstract sentences and their corresponding, highly condensed TLDR summaries. As mentioned, the main objective of semantic similarity fine-tuning is to teach the model to map semantically equivalent texts to nearby points in vector space. Hence, the abstract sentence and its associated </w:t>
      </w:r>
      <w:r w:rsidRPr="00656C8A">
        <w:lastRenderedPageBreak/>
        <w:t xml:space="preserve">TLDR summary are treated as a positive sentence pair with high inherent semantic similarity, effectively converting the summarization dataset into a Sentence Textual Similarity (STS) training corpus. This paired data is then loaded and transformed into the input format required by the Sentence Transformers library, typically an </w:t>
      </w:r>
      <w:proofErr w:type="spellStart"/>
      <w:r w:rsidRPr="00656C8A">
        <w:t>iterable</w:t>
      </w:r>
      <w:proofErr w:type="spellEnd"/>
      <w:r w:rsidRPr="00656C8A">
        <w:t xml:space="preserve"> of </w:t>
      </w:r>
      <w:proofErr w:type="spellStart"/>
      <w:r w:rsidRPr="00656C8A">
        <w:t>InputExample</w:t>
      </w:r>
      <w:proofErr w:type="spellEnd"/>
      <w:r w:rsidRPr="00656C8A">
        <w:t xml:space="preserve"> objects, which will facilitate contrastive or triplet loss functions driving the model towards learning robust similarity embeddings.</w:t>
      </w:r>
    </w:p>
    <w:p w14:paraId="46AFCA11" w14:textId="2C6B7FB5" w:rsidR="00D36D23" w:rsidRDefault="00BD29F9" w:rsidP="00D36D23">
      <w:pPr>
        <w:pStyle w:val="Heading2"/>
      </w:pPr>
      <w:r>
        <w:t>Pre-trained Model Definition and Tokenization</w:t>
      </w:r>
    </w:p>
    <w:p w14:paraId="211FF11F" w14:textId="3D1A5011" w:rsidR="00656C8A" w:rsidRPr="00656C8A" w:rsidRDefault="00656C8A" w:rsidP="00656C8A">
      <w:pPr>
        <w:pStyle w:val="BodyText"/>
      </w:pPr>
      <w:r w:rsidRPr="00656C8A">
        <w:t xml:space="preserve">The foundation of this study is the sentence-transformers/all-MiniLM-L6-v2 model. This architecture is a highly efficient and fast variant of BERT, utilizing a smaller number of Transformer layers (6 layers) and a reduced hidden dimension, making it ideal for large-scale embedding tasks where computational efficiency is a concern. The model is instantiated directly using the Python </w:t>
      </w:r>
      <w:proofErr w:type="spellStart"/>
      <w:r w:rsidRPr="00656C8A">
        <w:t>SentenceTransformer</w:t>
      </w:r>
      <w:proofErr w:type="spellEnd"/>
      <w:r w:rsidRPr="00656C8A">
        <w:t xml:space="preserve"> library, which automatically handles the intricate process of loading the pre-trained weights, the tokenizer, and the required pooling layer (typically Mean Pooling for creating a single sentence vector). The accompanying tokenizer is responsible for segmenting input text into tokens, mapping them to the model's vocabulary, and preparing the necessary input tensors, including attention masks and token type IDs. This pre-defined setup ensures that the texts from the </w:t>
      </w:r>
      <w:proofErr w:type="spellStart"/>
      <w:r w:rsidRPr="00656C8A">
        <w:t>SciTLDR</w:t>
      </w:r>
      <w:proofErr w:type="spellEnd"/>
      <w:r w:rsidRPr="00656C8A">
        <w:t xml:space="preserve"> dataset are processed into the 384-dimensional dense vector space for which the </w:t>
      </w:r>
      <w:proofErr w:type="spellStart"/>
      <w:r w:rsidRPr="00656C8A">
        <w:t>MiniLM</w:t>
      </w:r>
      <w:proofErr w:type="spellEnd"/>
      <w:r w:rsidRPr="00656C8A">
        <w:t xml:space="preserve"> model was specifically optimized, providing a strong initial representation before fine-tuning commences.</w:t>
      </w:r>
    </w:p>
    <w:p w14:paraId="16AC6CE7" w14:textId="3FB7FC63" w:rsidR="00D36D23" w:rsidRDefault="00BD29F9" w:rsidP="00D36D23">
      <w:pPr>
        <w:pStyle w:val="Heading2"/>
      </w:pPr>
      <w:r>
        <w:t>Training Configuration</w:t>
      </w:r>
    </w:p>
    <w:p w14:paraId="4E79D506" w14:textId="5699EADF" w:rsidR="00656C8A" w:rsidRPr="00656C8A" w:rsidRDefault="00656C8A" w:rsidP="00656C8A">
      <w:pPr>
        <w:pStyle w:val="BodyText"/>
      </w:pPr>
      <w:r w:rsidRPr="00656C8A">
        <w:t xml:space="preserve">The fine-tuning phase involves the systematic experimentation with key hyperparameters that maximize performance for the semantic similarity task. The three main parameters investigated in this work are the learning rate, the optimizer, and the warmup steps. The learning rate controls how much each update changes the weights and is central to stable convergence; empirically, a small range, for example, 1e-5 to 5e-5, is considered. An example of an optimizer is </w:t>
      </w:r>
      <w:proofErr w:type="spellStart"/>
      <w:r w:rsidRPr="00656C8A">
        <w:t>AdamW</w:t>
      </w:r>
      <w:proofErr w:type="spellEnd"/>
      <w:r w:rsidRPr="00656C8A">
        <w:t>, which was selected due to its efficiency and native weight decay regularization, though other optimizers, such as the standard Adam, can also be considered. Most importantly, the warmup steps implement a learning rate scheduler where the learning rate is increased linearly from zero to its maximum value along a percentage (so-called warmup percentage) of the beginning training steps. This technique is crucial when fine-tuning a pre-trained model since it avoids early weight instability and catastrophic forgetting of general language knowledge obtained during pre-training and allows for smooth and effective feature transfer of learned knowledge to the new task. Following the completion of the hyperparameter search and the selection of the best-performing model checkpoint, the final stage is the inference process to perform the intended task of semantic sentence similarity.</w:t>
      </w:r>
    </w:p>
    <w:p w14:paraId="0B77379C" w14:textId="2ED28CFB" w:rsidR="00D36D23" w:rsidRDefault="00BD29F9" w:rsidP="00BD29F9">
      <w:pPr>
        <w:pStyle w:val="Heading2"/>
      </w:pPr>
      <w:r>
        <w:t>Inference Process</w:t>
      </w:r>
    </w:p>
    <w:p w14:paraId="10CB7E11" w14:textId="0EF75AB6" w:rsidR="00656C8A" w:rsidRPr="00656C8A" w:rsidRDefault="00656C8A" w:rsidP="00656C8A">
      <w:pPr>
        <w:pStyle w:val="BodyText"/>
      </w:pPr>
      <w:r w:rsidRPr="00656C8A">
        <w:t xml:space="preserve">The fine-tuned </w:t>
      </w:r>
      <w:proofErr w:type="spellStart"/>
      <w:r w:rsidRPr="00656C8A">
        <w:t>SentenceTransformer</w:t>
      </w:r>
      <w:proofErr w:type="spellEnd"/>
      <w:r w:rsidRPr="00656C8A">
        <w:t xml:space="preserve"> model is loaded and used to generate fixed-size vector embeddings for any given input sentence. To compare two sentences—Sentence A and Sentence B—the model encodes each text independently into its respective embedding vector, EA​ and EB​. The similarity score is then calculated by computing the cosine similarity </w:t>
      </w:r>
      <w:r w:rsidRPr="00656C8A">
        <w:t>between the two resulting vectors. Cosine similarity measures the angle between EA​ and EB​, producing a score between -1 (perfectly dissimilar) and +1 (perfectly similar). This score quantifies the semantic closeness between the input sentences, allowing the model to be deployed in applications like semantic search, clustering, and paraphrase detection.</w:t>
      </w:r>
    </w:p>
    <w:p w14:paraId="59837DCD" w14:textId="20FCE071" w:rsidR="006451B2" w:rsidRDefault="006451B2" w:rsidP="006451B2">
      <w:pPr>
        <w:pStyle w:val="Heading1"/>
      </w:pPr>
      <w:r>
        <w:t>Results</w:t>
      </w:r>
    </w:p>
    <w:tbl>
      <w:tblPr>
        <w:tblStyle w:val="GridTable4"/>
        <w:tblW w:w="0" w:type="auto"/>
        <w:tblLayout w:type="fixed"/>
        <w:tblLook w:val="04A0" w:firstRow="1" w:lastRow="0" w:firstColumn="1" w:lastColumn="0" w:noHBand="0" w:noVBand="1"/>
      </w:tblPr>
      <w:tblGrid>
        <w:gridCol w:w="517"/>
        <w:gridCol w:w="648"/>
        <w:gridCol w:w="900"/>
        <w:gridCol w:w="540"/>
        <w:gridCol w:w="810"/>
        <w:gridCol w:w="810"/>
        <w:gridCol w:w="631"/>
      </w:tblGrid>
      <w:tr w:rsidR="002C16CB" w14:paraId="7F46E01E" w14:textId="77777777" w:rsidTr="002C1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7A04E3F4" w14:textId="0BA1DEA7" w:rsidR="00ED361E" w:rsidRPr="002C16CB" w:rsidRDefault="00ED361E" w:rsidP="00ED361E">
            <w:pPr>
              <w:pStyle w:val="BodyText"/>
              <w:ind w:firstLine="0"/>
              <w:jc w:val="center"/>
              <w:rPr>
                <w:sz w:val="16"/>
                <w:szCs w:val="16"/>
              </w:rPr>
            </w:pPr>
            <w:r w:rsidRPr="002C16CB">
              <w:rPr>
                <w:sz w:val="16"/>
                <w:szCs w:val="16"/>
              </w:rPr>
              <w:t xml:space="preserve">Exp </w:t>
            </w:r>
          </w:p>
        </w:tc>
        <w:tc>
          <w:tcPr>
            <w:tcW w:w="648" w:type="dxa"/>
          </w:tcPr>
          <w:p w14:paraId="28A9F2CB" w14:textId="4F9AB9D3" w:rsidR="00ED361E" w:rsidRPr="002C16CB" w:rsidRDefault="00ED361E"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C16CB">
              <w:rPr>
                <w:sz w:val="16"/>
                <w:szCs w:val="16"/>
              </w:rPr>
              <w:t>LR</w:t>
            </w:r>
          </w:p>
        </w:tc>
        <w:tc>
          <w:tcPr>
            <w:tcW w:w="900" w:type="dxa"/>
          </w:tcPr>
          <w:p w14:paraId="1AD41690" w14:textId="3E95CDE7" w:rsidR="00ED361E" w:rsidRPr="002C16CB" w:rsidRDefault="002C16CB"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C16CB">
              <w:rPr>
                <w:sz w:val="16"/>
                <w:szCs w:val="16"/>
              </w:rPr>
              <w:t>Or</w:t>
            </w:r>
          </w:p>
        </w:tc>
        <w:tc>
          <w:tcPr>
            <w:tcW w:w="540" w:type="dxa"/>
          </w:tcPr>
          <w:p w14:paraId="55724A5C" w14:textId="07526E13" w:rsidR="00ED361E" w:rsidRPr="002C16CB" w:rsidRDefault="002C16CB"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C16CB">
              <w:rPr>
                <w:sz w:val="16"/>
                <w:szCs w:val="16"/>
              </w:rPr>
              <w:t>Wp</w:t>
            </w:r>
          </w:p>
        </w:tc>
        <w:tc>
          <w:tcPr>
            <w:tcW w:w="810" w:type="dxa"/>
          </w:tcPr>
          <w:p w14:paraId="1C9B802B" w14:textId="213FC4B9" w:rsidR="00ED361E" w:rsidRPr="002C16CB" w:rsidRDefault="00ED361E"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2C16CB">
              <w:rPr>
                <w:sz w:val="16"/>
                <w:szCs w:val="16"/>
              </w:rPr>
              <w:t>Sp</w:t>
            </w:r>
            <w:proofErr w:type="spellEnd"/>
          </w:p>
        </w:tc>
        <w:tc>
          <w:tcPr>
            <w:tcW w:w="810" w:type="dxa"/>
          </w:tcPr>
          <w:p w14:paraId="1490B5CF" w14:textId="66C80708" w:rsidR="00ED361E" w:rsidRPr="002C16CB" w:rsidRDefault="00ED361E"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2C16CB">
              <w:rPr>
                <w:sz w:val="16"/>
                <w:szCs w:val="16"/>
              </w:rPr>
              <w:t>Pr</w:t>
            </w:r>
            <w:proofErr w:type="spellEnd"/>
          </w:p>
        </w:tc>
        <w:tc>
          <w:tcPr>
            <w:tcW w:w="631" w:type="dxa"/>
          </w:tcPr>
          <w:p w14:paraId="0E9B84EB" w14:textId="48875A59" w:rsidR="00ED361E" w:rsidRPr="002C16CB" w:rsidRDefault="00ED361E" w:rsidP="00ED361E">
            <w:pPr>
              <w:pStyle w:val="BodyText"/>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C16CB">
              <w:rPr>
                <w:sz w:val="16"/>
                <w:szCs w:val="16"/>
              </w:rPr>
              <w:t>T/M</w:t>
            </w:r>
          </w:p>
        </w:tc>
      </w:tr>
      <w:tr w:rsidR="002C16CB" w14:paraId="1F55059E" w14:textId="77777777" w:rsidTr="002C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5D10DA4E" w14:textId="7733D078" w:rsidR="00ED361E" w:rsidRDefault="00ED361E" w:rsidP="00ED361E">
            <w:pPr>
              <w:pStyle w:val="BodyText"/>
              <w:ind w:firstLine="0"/>
            </w:pPr>
            <w:r>
              <w:t>1</w:t>
            </w:r>
          </w:p>
        </w:tc>
        <w:tc>
          <w:tcPr>
            <w:tcW w:w="648" w:type="dxa"/>
          </w:tcPr>
          <w:p w14:paraId="6A93C277" w14:textId="11AFBA16" w:rsidR="00ED361E" w:rsidRDefault="00ED361E" w:rsidP="00ED361E">
            <w:pPr>
              <w:pStyle w:val="BodyText"/>
              <w:ind w:firstLine="0"/>
              <w:cnfStyle w:val="000000100000" w:firstRow="0" w:lastRow="0" w:firstColumn="0" w:lastColumn="0" w:oddVBand="0" w:evenVBand="0" w:oddHBand="1" w:evenHBand="0" w:firstRowFirstColumn="0" w:firstRowLastColumn="0" w:lastRowFirstColumn="0" w:lastRowLastColumn="0"/>
            </w:pPr>
            <w:r>
              <w:t>1e-5</w:t>
            </w:r>
          </w:p>
        </w:tc>
        <w:tc>
          <w:tcPr>
            <w:tcW w:w="900" w:type="dxa"/>
          </w:tcPr>
          <w:p w14:paraId="41985128" w14:textId="7C42A5E3" w:rsidR="00ED361E" w:rsidRDefault="00ED361E" w:rsidP="00ED361E">
            <w:pPr>
              <w:pStyle w:val="BodyText"/>
              <w:ind w:firstLine="0"/>
              <w:cnfStyle w:val="000000100000" w:firstRow="0" w:lastRow="0" w:firstColumn="0" w:lastColumn="0" w:oddVBand="0" w:evenVBand="0" w:oddHBand="1" w:evenHBand="0" w:firstRowFirstColumn="0" w:firstRowLastColumn="0" w:lastRowFirstColumn="0" w:lastRowLastColumn="0"/>
            </w:pPr>
            <w:r>
              <w:t>Adam</w:t>
            </w:r>
          </w:p>
        </w:tc>
        <w:tc>
          <w:tcPr>
            <w:tcW w:w="540" w:type="dxa"/>
          </w:tcPr>
          <w:p w14:paraId="0B6E4406" w14:textId="2F37152F"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N/A</w:t>
            </w:r>
          </w:p>
        </w:tc>
        <w:tc>
          <w:tcPr>
            <w:tcW w:w="810" w:type="dxa"/>
          </w:tcPr>
          <w:p w14:paraId="20346184" w14:textId="57AAF4BF"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0.8552</w:t>
            </w:r>
          </w:p>
        </w:tc>
        <w:tc>
          <w:tcPr>
            <w:tcW w:w="810" w:type="dxa"/>
          </w:tcPr>
          <w:p w14:paraId="148DB56F" w14:textId="61CB8350"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0.9082</w:t>
            </w:r>
          </w:p>
        </w:tc>
        <w:tc>
          <w:tcPr>
            <w:tcW w:w="631" w:type="dxa"/>
          </w:tcPr>
          <w:p w14:paraId="1B762ACF" w14:textId="3B27DEBB"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4.9</w:t>
            </w:r>
          </w:p>
        </w:tc>
      </w:tr>
      <w:tr w:rsidR="002C16CB" w14:paraId="64AC70B9" w14:textId="77777777" w:rsidTr="002C16CB">
        <w:tc>
          <w:tcPr>
            <w:cnfStyle w:val="001000000000" w:firstRow="0" w:lastRow="0" w:firstColumn="1" w:lastColumn="0" w:oddVBand="0" w:evenVBand="0" w:oddHBand="0" w:evenHBand="0" w:firstRowFirstColumn="0" w:firstRowLastColumn="0" w:lastRowFirstColumn="0" w:lastRowLastColumn="0"/>
            <w:tcW w:w="517" w:type="dxa"/>
          </w:tcPr>
          <w:p w14:paraId="1BC53DA4" w14:textId="19D17193" w:rsidR="00ED361E" w:rsidRDefault="00ED361E" w:rsidP="00ED361E">
            <w:pPr>
              <w:pStyle w:val="BodyText"/>
              <w:ind w:firstLine="0"/>
            </w:pPr>
            <w:r>
              <w:t>2</w:t>
            </w:r>
          </w:p>
        </w:tc>
        <w:tc>
          <w:tcPr>
            <w:tcW w:w="648" w:type="dxa"/>
          </w:tcPr>
          <w:p w14:paraId="78DA7BBD" w14:textId="21F5156B" w:rsidR="00ED361E" w:rsidRDefault="00ED361E" w:rsidP="00ED361E">
            <w:pPr>
              <w:pStyle w:val="BodyText"/>
              <w:ind w:firstLine="0"/>
              <w:cnfStyle w:val="000000000000" w:firstRow="0" w:lastRow="0" w:firstColumn="0" w:lastColumn="0" w:oddVBand="0" w:evenVBand="0" w:oddHBand="0" w:evenHBand="0" w:firstRowFirstColumn="0" w:firstRowLastColumn="0" w:lastRowFirstColumn="0" w:lastRowLastColumn="0"/>
            </w:pPr>
            <w:r>
              <w:t>2e-5</w:t>
            </w:r>
          </w:p>
        </w:tc>
        <w:tc>
          <w:tcPr>
            <w:tcW w:w="900" w:type="dxa"/>
          </w:tcPr>
          <w:p w14:paraId="70CA0695" w14:textId="04B58EA0" w:rsidR="00ED361E" w:rsidRDefault="00ED361E" w:rsidP="00ED361E">
            <w:pPr>
              <w:pStyle w:val="BodyText"/>
              <w:ind w:firstLine="0"/>
              <w:cnfStyle w:val="000000000000" w:firstRow="0" w:lastRow="0" w:firstColumn="0" w:lastColumn="0" w:oddVBand="0" w:evenVBand="0" w:oddHBand="0" w:evenHBand="0" w:firstRowFirstColumn="0" w:firstRowLastColumn="0" w:lastRowFirstColumn="0" w:lastRowLastColumn="0"/>
            </w:pPr>
            <w:r>
              <w:t>Adam</w:t>
            </w:r>
          </w:p>
        </w:tc>
        <w:tc>
          <w:tcPr>
            <w:tcW w:w="540" w:type="dxa"/>
          </w:tcPr>
          <w:p w14:paraId="116B64F6" w14:textId="33399451"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N/A</w:t>
            </w:r>
          </w:p>
        </w:tc>
        <w:tc>
          <w:tcPr>
            <w:tcW w:w="810" w:type="dxa"/>
          </w:tcPr>
          <w:p w14:paraId="600CFB52" w14:textId="6B2D46A1"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0.8562</w:t>
            </w:r>
          </w:p>
        </w:tc>
        <w:tc>
          <w:tcPr>
            <w:tcW w:w="810" w:type="dxa"/>
          </w:tcPr>
          <w:p w14:paraId="6D125D57" w14:textId="68C8D62A"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0.9114</w:t>
            </w:r>
          </w:p>
        </w:tc>
        <w:tc>
          <w:tcPr>
            <w:tcW w:w="631" w:type="dxa"/>
          </w:tcPr>
          <w:p w14:paraId="7493C9AA" w14:textId="0F8BEF62"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2.52</w:t>
            </w:r>
          </w:p>
        </w:tc>
      </w:tr>
      <w:tr w:rsidR="002C16CB" w14:paraId="6D494C78" w14:textId="77777777" w:rsidTr="002C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466D4DB0" w14:textId="12FED020" w:rsidR="00ED361E" w:rsidRDefault="00ED361E" w:rsidP="00ED361E">
            <w:pPr>
              <w:pStyle w:val="BodyText"/>
              <w:ind w:firstLine="0"/>
            </w:pPr>
            <w:r>
              <w:t>3</w:t>
            </w:r>
          </w:p>
        </w:tc>
        <w:tc>
          <w:tcPr>
            <w:tcW w:w="648" w:type="dxa"/>
          </w:tcPr>
          <w:p w14:paraId="6A4A22AA" w14:textId="1B63F5C3" w:rsidR="00ED361E" w:rsidRDefault="00ED361E" w:rsidP="00ED361E">
            <w:pPr>
              <w:pStyle w:val="BodyText"/>
              <w:ind w:firstLine="0"/>
              <w:cnfStyle w:val="000000100000" w:firstRow="0" w:lastRow="0" w:firstColumn="0" w:lastColumn="0" w:oddVBand="0" w:evenVBand="0" w:oddHBand="1" w:evenHBand="0" w:firstRowFirstColumn="0" w:firstRowLastColumn="0" w:lastRowFirstColumn="0" w:lastRowLastColumn="0"/>
            </w:pPr>
            <w:r>
              <w:t>2e-5</w:t>
            </w:r>
          </w:p>
        </w:tc>
        <w:tc>
          <w:tcPr>
            <w:tcW w:w="900" w:type="dxa"/>
          </w:tcPr>
          <w:p w14:paraId="3920C9C5" w14:textId="748DCA0E" w:rsidR="00ED361E" w:rsidRDefault="00ED361E" w:rsidP="00ED361E">
            <w:pPr>
              <w:pStyle w:val="BodyText"/>
              <w:ind w:firstLine="0"/>
              <w:cnfStyle w:val="000000100000" w:firstRow="0" w:lastRow="0" w:firstColumn="0" w:lastColumn="0" w:oddVBand="0" w:evenVBand="0" w:oddHBand="1" w:evenHBand="0" w:firstRowFirstColumn="0" w:firstRowLastColumn="0" w:lastRowFirstColumn="0" w:lastRowLastColumn="0"/>
            </w:pPr>
            <w:proofErr w:type="spellStart"/>
            <w:r>
              <w:t>AdamW</w:t>
            </w:r>
            <w:proofErr w:type="spellEnd"/>
          </w:p>
        </w:tc>
        <w:tc>
          <w:tcPr>
            <w:tcW w:w="540" w:type="dxa"/>
          </w:tcPr>
          <w:p w14:paraId="39E967A1" w14:textId="14222CAF"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N/A</w:t>
            </w:r>
          </w:p>
        </w:tc>
        <w:tc>
          <w:tcPr>
            <w:tcW w:w="810" w:type="dxa"/>
          </w:tcPr>
          <w:p w14:paraId="4A3955E4" w14:textId="483E03ED"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0.8570</w:t>
            </w:r>
          </w:p>
        </w:tc>
        <w:tc>
          <w:tcPr>
            <w:tcW w:w="810" w:type="dxa"/>
          </w:tcPr>
          <w:p w14:paraId="14A0F3D5" w14:textId="4000E324"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0.9131</w:t>
            </w:r>
          </w:p>
        </w:tc>
        <w:tc>
          <w:tcPr>
            <w:tcW w:w="631" w:type="dxa"/>
          </w:tcPr>
          <w:p w14:paraId="7DB6EA59" w14:textId="71A694F5"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2.50</w:t>
            </w:r>
          </w:p>
        </w:tc>
      </w:tr>
      <w:tr w:rsidR="002C16CB" w14:paraId="2C93EF57" w14:textId="77777777" w:rsidTr="002C16CB">
        <w:tc>
          <w:tcPr>
            <w:cnfStyle w:val="001000000000" w:firstRow="0" w:lastRow="0" w:firstColumn="1" w:lastColumn="0" w:oddVBand="0" w:evenVBand="0" w:oddHBand="0" w:evenHBand="0" w:firstRowFirstColumn="0" w:firstRowLastColumn="0" w:lastRowFirstColumn="0" w:lastRowLastColumn="0"/>
            <w:tcW w:w="517" w:type="dxa"/>
          </w:tcPr>
          <w:p w14:paraId="3007866A" w14:textId="5483062F" w:rsidR="00ED361E" w:rsidRDefault="00ED361E" w:rsidP="00ED361E">
            <w:pPr>
              <w:pStyle w:val="BodyText"/>
              <w:ind w:firstLine="0"/>
            </w:pPr>
            <w:r>
              <w:t>4</w:t>
            </w:r>
          </w:p>
        </w:tc>
        <w:tc>
          <w:tcPr>
            <w:tcW w:w="648" w:type="dxa"/>
          </w:tcPr>
          <w:p w14:paraId="2BBC5CDC" w14:textId="21F2EC1D"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3</w:t>
            </w:r>
            <w:r w:rsidR="00ED361E">
              <w:t>e-5</w:t>
            </w:r>
          </w:p>
        </w:tc>
        <w:tc>
          <w:tcPr>
            <w:tcW w:w="900" w:type="dxa"/>
          </w:tcPr>
          <w:p w14:paraId="74434148" w14:textId="68BD814A"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Adam</w:t>
            </w:r>
          </w:p>
        </w:tc>
        <w:tc>
          <w:tcPr>
            <w:tcW w:w="540" w:type="dxa"/>
          </w:tcPr>
          <w:p w14:paraId="532C4D6F" w14:textId="7E18F556"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p>
        </w:tc>
        <w:tc>
          <w:tcPr>
            <w:tcW w:w="810" w:type="dxa"/>
          </w:tcPr>
          <w:p w14:paraId="65A372EA" w14:textId="4DDA62E6"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0.8563</w:t>
            </w:r>
          </w:p>
        </w:tc>
        <w:tc>
          <w:tcPr>
            <w:tcW w:w="810" w:type="dxa"/>
          </w:tcPr>
          <w:p w14:paraId="4A7C61CF" w14:textId="5D3D2F96"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0.9124</w:t>
            </w:r>
          </w:p>
        </w:tc>
        <w:tc>
          <w:tcPr>
            <w:tcW w:w="631" w:type="dxa"/>
          </w:tcPr>
          <w:p w14:paraId="20C12422" w14:textId="33909FF8"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2.55</w:t>
            </w:r>
          </w:p>
        </w:tc>
      </w:tr>
      <w:tr w:rsidR="002C16CB" w14:paraId="6BB738FA" w14:textId="77777777" w:rsidTr="002C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42519EEB" w14:textId="41911982" w:rsidR="00ED361E" w:rsidRDefault="00ED361E" w:rsidP="00ED361E">
            <w:pPr>
              <w:pStyle w:val="BodyText"/>
              <w:ind w:firstLine="0"/>
            </w:pPr>
            <w:r>
              <w:t>5</w:t>
            </w:r>
          </w:p>
        </w:tc>
        <w:tc>
          <w:tcPr>
            <w:tcW w:w="648" w:type="dxa"/>
          </w:tcPr>
          <w:p w14:paraId="504A6DB2" w14:textId="7E0C7056"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5</w:t>
            </w:r>
            <w:r w:rsidR="00ED361E">
              <w:t>e-</w:t>
            </w:r>
            <w:r>
              <w:t>6</w:t>
            </w:r>
          </w:p>
        </w:tc>
        <w:tc>
          <w:tcPr>
            <w:tcW w:w="900" w:type="dxa"/>
          </w:tcPr>
          <w:p w14:paraId="525F14B6" w14:textId="462F570F"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Adam</w:t>
            </w:r>
          </w:p>
        </w:tc>
        <w:tc>
          <w:tcPr>
            <w:tcW w:w="540" w:type="dxa"/>
          </w:tcPr>
          <w:p w14:paraId="24AA7C29" w14:textId="1E88D430"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p>
        </w:tc>
        <w:tc>
          <w:tcPr>
            <w:tcW w:w="810" w:type="dxa"/>
          </w:tcPr>
          <w:p w14:paraId="3B69F5E7" w14:textId="52209E0D"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0.8535</w:t>
            </w:r>
          </w:p>
        </w:tc>
        <w:tc>
          <w:tcPr>
            <w:tcW w:w="810" w:type="dxa"/>
          </w:tcPr>
          <w:p w14:paraId="6B0B83EB" w14:textId="2A2E0784"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0.9027</w:t>
            </w:r>
          </w:p>
        </w:tc>
        <w:tc>
          <w:tcPr>
            <w:tcW w:w="631" w:type="dxa"/>
          </w:tcPr>
          <w:p w14:paraId="33D0C8E1" w14:textId="0CE20E2E"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2.47</w:t>
            </w:r>
          </w:p>
        </w:tc>
      </w:tr>
      <w:tr w:rsidR="002C16CB" w14:paraId="041A1211" w14:textId="77777777" w:rsidTr="002C16CB">
        <w:tc>
          <w:tcPr>
            <w:cnfStyle w:val="001000000000" w:firstRow="0" w:lastRow="0" w:firstColumn="1" w:lastColumn="0" w:oddVBand="0" w:evenVBand="0" w:oddHBand="0" w:evenHBand="0" w:firstRowFirstColumn="0" w:firstRowLastColumn="0" w:lastRowFirstColumn="0" w:lastRowLastColumn="0"/>
            <w:tcW w:w="517" w:type="dxa"/>
          </w:tcPr>
          <w:p w14:paraId="51ECF199" w14:textId="5FF4236B" w:rsidR="00ED361E" w:rsidRDefault="00ED361E" w:rsidP="00ED361E">
            <w:pPr>
              <w:pStyle w:val="BodyText"/>
              <w:ind w:firstLine="0"/>
            </w:pPr>
            <w:r>
              <w:t>6</w:t>
            </w:r>
          </w:p>
        </w:tc>
        <w:tc>
          <w:tcPr>
            <w:tcW w:w="648" w:type="dxa"/>
          </w:tcPr>
          <w:p w14:paraId="09FD59D2" w14:textId="04F6D2B5"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1</w:t>
            </w:r>
            <w:r w:rsidR="00ED361E">
              <w:t>e-</w:t>
            </w:r>
            <w:r>
              <w:t>4</w:t>
            </w:r>
          </w:p>
        </w:tc>
        <w:tc>
          <w:tcPr>
            <w:tcW w:w="900" w:type="dxa"/>
          </w:tcPr>
          <w:p w14:paraId="576B7B98" w14:textId="5EABB0AD"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SGD</w:t>
            </w:r>
          </w:p>
        </w:tc>
        <w:tc>
          <w:tcPr>
            <w:tcW w:w="540" w:type="dxa"/>
          </w:tcPr>
          <w:p w14:paraId="517159CC" w14:textId="0240F74E"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w:t>
            </w:r>
          </w:p>
        </w:tc>
        <w:tc>
          <w:tcPr>
            <w:tcW w:w="810" w:type="dxa"/>
          </w:tcPr>
          <w:p w14:paraId="048ED050" w14:textId="072EF296"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0.8456</w:t>
            </w:r>
          </w:p>
        </w:tc>
        <w:tc>
          <w:tcPr>
            <w:tcW w:w="810" w:type="dxa"/>
          </w:tcPr>
          <w:p w14:paraId="75DA416F" w14:textId="19896051"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0.8779</w:t>
            </w:r>
          </w:p>
        </w:tc>
        <w:tc>
          <w:tcPr>
            <w:tcW w:w="631" w:type="dxa"/>
          </w:tcPr>
          <w:p w14:paraId="510D3E41" w14:textId="6D409803"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2.51</w:t>
            </w:r>
          </w:p>
        </w:tc>
      </w:tr>
      <w:tr w:rsidR="002C16CB" w14:paraId="4834E1CF" w14:textId="77777777" w:rsidTr="002C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187088F5" w14:textId="33FFA45A" w:rsidR="00ED361E" w:rsidRDefault="00ED361E" w:rsidP="00ED361E">
            <w:pPr>
              <w:pStyle w:val="BodyText"/>
              <w:ind w:firstLine="0"/>
            </w:pPr>
            <w:r>
              <w:t>7</w:t>
            </w:r>
          </w:p>
        </w:tc>
        <w:tc>
          <w:tcPr>
            <w:tcW w:w="648" w:type="dxa"/>
          </w:tcPr>
          <w:p w14:paraId="3042D135" w14:textId="65F48702"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2e-5</w:t>
            </w:r>
          </w:p>
        </w:tc>
        <w:tc>
          <w:tcPr>
            <w:tcW w:w="900" w:type="dxa"/>
          </w:tcPr>
          <w:p w14:paraId="0E60B80F" w14:textId="26F3B3BF"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proofErr w:type="spellStart"/>
            <w:r>
              <w:t>AdamW</w:t>
            </w:r>
            <w:proofErr w:type="spellEnd"/>
          </w:p>
        </w:tc>
        <w:tc>
          <w:tcPr>
            <w:tcW w:w="540" w:type="dxa"/>
          </w:tcPr>
          <w:p w14:paraId="2F81D275" w14:textId="115C11DA"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w:t>
            </w:r>
          </w:p>
        </w:tc>
        <w:tc>
          <w:tcPr>
            <w:tcW w:w="810" w:type="dxa"/>
          </w:tcPr>
          <w:p w14:paraId="22739AC6" w14:textId="7D1163A5"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0.8567</w:t>
            </w:r>
          </w:p>
        </w:tc>
        <w:tc>
          <w:tcPr>
            <w:tcW w:w="810" w:type="dxa"/>
          </w:tcPr>
          <w:p w14:paraId="48056BF8" w14:textId="326AA565"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0.9127</w:t>
            </w:r>
          </w:p>
        </w:tc>
        <w:tc>
          <w:tcPr>
            <w:tcW w:w="631" w:type="dxa"/>
          </w:tcPr>
          <w:p w14:paraId="130BD69C" w14:textId="61B1580C"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2.50</w:t>
            </w:r>
          </w:p>
        </w:tc>
      </w:tr>
      <w:tr w:rsidR="002C16CB" w14:paraId="33FA5635" w14:textId="77777777" w:rsidTr="002C16CB">
        <w:tc>
          <w:tcPr>
            <w:cnfStyle w:val="001000000000" w:firstRow="0" w:lastRow="0" w:firstColumn="1" w:lastColumn="0" w:oddVBand="0" w:evenVBand="0" w:oddHBand="0" w:evenHBand="0" w:firstRowFirstColumn="0" w:firstRowLastColumn="0" w:lastRowFirstColumn="0" w:lastRowLastColumn="0"/>
            <w:tcW w:w="517" w:type="dxa"/>
          </w:tcPr>
          <w:p w14:paraId="75A09A11" w14:textId="7150DA6C" w:rsidR="00ED361E" w:rsidRDefault="00ED361E" w:rsidP="00ED361E">
            <w:pPr>
              <w:pStyle w:val="BodyText"/>
              <w:ind w:firstLine="0"/>
            </w:pPr>
            <w:r>
              <w:t>8</w:t>
            </w:r>
          </w:p>
        </w:tc>
        <w:tc>
          <w:tcPr>
            <w:tcW w:w="648" w:type="dxa"/>
          </w:tcPr>
          <w:p w14:paraId="2D437098" w14:textId="322A82D9" w:rsidR="00ED361E" w:rsidRDefault="00ED361E" w:rsidP="00ED361E">
            <w:pPr>
              <w:pStyle w:val="BodyText"/>
              <w:ind w:firstLine="0"/>
              <w:cnfStyle w:val="000000000000" w:firstRow="0" w:lastRow="0" w:firstColumn="0" w:lastColumn="0" w:oddVBand="0" w:evenVBand="0" w:oddHBand="0" w:evenHBand="0" w:firstRowFirstColumn="0" w:firstRowLastColumn="0" w:lastRowFirstColumn="0" w:lastRowLastColumn="0"/>
            </w:pPr>
            <w:r>
              <w:t>2e-</w:t>
            </w:r>
            <w:r w:rsidR="002C16CB">
              <w:t>5</w:t>
            </w:r>
          </w:p>
        </w:tc>
        <w:tc>
          <w:tcPr>
            <w:tcW w:w="900" w:type="dxa"/>
          </w:tcPr>
          <w:p w14:paraId="0F4338C9" w14:textId="7BF50A8E"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Adam</w:t>
            </w:r>
          </w:p>
        </w:tc>
        <w:tc>
          <w:tcPr>
            <w:tcW w:w="540" w:type="dxa"/>
          </w:tcPr>
          <w:p w14:paraId="20E62806" w14:textId="135C9AE2"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0.1</w:t>
            </w:r>
          </w:p>
        </w:tc>
        <w:tc>
          <w:tcPr>
            <w:tcW w:w="810" w:type="dxa"/>
          </w:tcPr>
          <w:p w14:paraId="389A4014" w14:textId="275C5C86"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0.8562</w:t>
            </w:r>
          </w:p>
        </w:tc>
        <w:tc>
          <w:tcPr>
            <w:tcW w:w="810" w:type="dxa"/>
          </w:tcPr>
          <w:p w14:paraId="10990733" w14:textId="4E6C5C52"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0.9114</w:t>
            </w:r>
          </w:p>
        </w:tc>
        <w:tc>
          <w:tcPr>
            <w:tcW w:w="631" w:type="dxa"/>
          </w:tcPr>
          <w:p w14:paraId="59B5F163" w14:textId="6FA74408"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2.48</w:t>
            </w:r>
          </w:p>
        </w:tc>
      </w:tr>
      <w:tr w:rsidR="002C16CB" w14:paraId="6F93C17C" w14:textId="77777777" w:rsidTr="002C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tcPr>
          <w:p w14:paraId="20F3BFDA" w14:textId="45D8573F" w:rsidR="00ED361E" w:rsidRDefault="00ED361E" w:rsidP="00ED361E">
            <w:pPr>
              <w:pStyle w:val="BodyText"/>
              <w:ind w:firstLine="0"/>
            </w:pPr>
            <w:r>
              <w:t>9</w:t>
            </w:r>
          </w:p>
        </w:tc>
        <w:tc>
          <w:tcPr>
            <w:tcW w:w="648" w:type="dxa"/>
          </w:tcPr>
          <w:p w14:paraId="4213C92A" w14:textId="65ECDBFA" w:rsidR="00ED361E" w:rsidRDefault="00ED361E" w:rsidP="00ED361E">
            <w:pPr>
              <w:pStyle w:val="BodyText"/>
              <w:ind w:firstLine="0"/>
              <w:cnfStyle w:val="000000100000" w:firstRow="0" w:lastRow="0" w:firstColumn="0" w:lastColumn="0" w:oddVBand="0" w:evenVBand="0" w:oddHBand="1" w:evenHBand="0" w:firstRowFirstColumn="0" w:firstRowLastColumn="0" w:lastRowFirstColumn="0" w:lastRowLastColumn="0"/>
            </w:pPr>
            <w:r>
              <w:t>2e-5</w:t>
            </w:r>
          </w:p>
        </w:tc>
        <w:tc>
          <w:tcPr>
            <w:tcW w:w="900" w:type="dxa"/>
          </w:tcPr>
          <w:p w14:paraId="0C19283A" w14:textId="5E60FD8C"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proofErr w:type="spellStart"/>
            <w:r>
              <w:t>AdamW</w:t>
            </w:r>
            <w:proofErr w:type="spellEnd"/>
          </w:p>
        </w:tc>
        <w:tc>
          <w:tcPr>
            <w:tcW w:w="540" w:type="dxa"/>
          </w:tcPr>
          <w:p w14:paraId="3C28F5FD" w14:textId="4080B23B"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0.4</w:t>
            </w:r>
          </w:p>
        </w:tc>
        <w:tc>
          <w:tcPr>
            <w:tcW w:w="810" w:type="dxa"/>
          </w:tcPr>
          <w:p w14:paraId="0A71B83D" w14:textId="66A20E41"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0.8569</w:t>
            </w:r>
          </w:p>
        </w:tc>
        <w:tc>
          <w:tcPr>
            <w:tcW w:w="810" w:type="dxa"/>
          </w:tcPr>
          <w:p w14:paraId="47B5C105" w14:textId="4C7508BF"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0.9134</w:t>
            </w:r>
          </w:p>
        </w:tc>
        <w:tc>
          <w:tcPr>
            <w:tcW w:w="631" w:type="dxa"/>
          </w:tcPr>
          <w:p w14:paraId="22BAB3E3" w14:textId="58F2EA91" w:rsidR="00ED361E" w:rsidRDefault="002C16CB" w:rsidP="00ED361E">
            <w:pPr>
              <w:pStyle w:val="BodyText"/>
              <w:ind w:firstLine="0"/>
              <w:cnfStyle w:val="000000100000" w:firstRow="0" w:lastRow="0" w:firstColumn="0" w:lastColumn="0" w:oddVBand="0" w:evenVBand="0" w:oddHBand="1" w:evenHBand="0" w:firstRowFirstColumn="0" w:firstRowLastColumn="0" w:lastRowFirstColumn="0" w:lastRowLastColumn="0"/>
            </w:pPr>
            <w:r>
              <w:t>2.53</w:t>
            </w:r>
          </w:p>
        </w:tc>
      </w:tr>
      <w:tr w:rsidR="002C16CB" w14:paraId="3D1168F4" w14:textId="77777777" w:rsidTr="002C16CB">
        <w:tc>
          <w:tcPr>
            <w:cnfStyle w:val="001000000000" w:firstRow="0" w:lastRow="0" w:firstColumn="1" w:lastColumn="0" w:oddVBand="0" w:evenVBand="0" w:oddHBand="0" w:evenHBand="0" w:firstRowFirstColumn="0" w:firstRowLastColumn="0" w:lastRowFirstColumn="0" w:lastRowLastColumn="0"/>
            <w:tcW w:w="517" w:type="dxa"/>
          </w:tcPr>
          <w:p w14:paraId="1030B71F" w14:textId="39D35C8D" w:rsidR="00ED361E" w:rsidRDefault="00ED361E" w:rsidP="00ED361E">
            <w:pPr>
              <w:pStyle w:val="BodyText"/>
              <w:ind w:firstLine="0"/>
            </w:pPr>
            <w:r>
              <w:t>10</w:t>
            </w:r>
          </w:p>
        </w:tc>
        <w:tc>
          <w:tcPr>
            <w:tcW w:w="648" w:type="dxa"/>
          </w:tcPr>
          <w:p w14:paraId="37EDD084" w14:textId="40898FF8"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1e-3</w:t>
            </w:r>
          </w:p>
        </w:tc>
        <w:tc>
          <w:tcPr>
            <w:tcW w:w="900" w:type="dxa"/>
          </w:tcPr>
          <w:p w14:paraId="396530E5" w14:textId="533F0237" w:rsidR="00ED361E" w:rsidRPr="002C16CB"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C16CB">
              <w:rPr>
                <w:sz w:val="16"/>
                <w:szCs w:val="16"/>
              </w:rPr>
              <w:t>AdaFactor</w:t>
            </w:r>
            <w:proofErr w:type="spellEnd"/>
          </w:p>
        </w:tc>
        <w:tc>
          <w:tcPr>
            <w:tcW w:w="540" w:type="dxa"/>
          </w:tcPr>
          <w:p w14:paraId="7A118BF7" w14:textId="19630C6D"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N/A</w:t>
            </w:r>
          </w:p>
        </w:tc>
        <w:tc>
          <w:tcPr>
            <w:tcW w:w="810" w:type="dxa"/>
          </w:tcPr>
          <w:p w14:paraId="0E338D93" w14:textId="43E93B3D"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0.8536</w:t>
            </w:r>
          </w:p>
        </w:tc>
        <w:tc>
          <w:tcPr>
            <w:tcW w:w="810" w:type="dxa"/>
          </w:tcPr>
          <w:p w14:paraId="6ACB0A34" w14:textId="19F78FA0"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0.9105</w:t>
            </w:r>
          </w:p>
        </w:tc>
        <w:tc>
          <w:tcPr>
            <w:tcW w:w="631" w:type="dxa"/>
          </w:tcPr>
          <w:p w14:paraId="0A5369E0" w14:textId="4A612E8A" w:rsidR="00ED361E" w:rsidRDefault="002C16CB" w:rsidP="00ED361E">
            <w:pPr>
              <w:pStyle w:val="BodyText"/>
              <w:ind w:firstLine="0"/>
              <w:cnfStyle w:val="000000000000" w:firstRow="0" w:lastRow="0" w:firstColumn="0" w:lastColumn="0" w:oddVBand="0" w:evenVBand="0" w:oddHBand="0" w:evenHBand="0" w:firstRowFirstColumn="0" w:firstRowLastColumn="0" w:lastRowFirstColumn="0" w:lastRowLastColumn="0"/>
            </w:pPr>
            <w:r>
              <w:t>2.57</w:t>
            </w:r>
          </w:p>
        </w:tc>
      </w:tr>
    </w:tbl>
    <w:p w14:paraId="22037FDC" w14:textId="21A364D7" w:rsidR="00ED361E" w:rsidRDefault="002C16CB" w:rsidP="002C16CB">
      <w:pPr>
        <w:pStyle w:val="figurecaption"/>
      </w:pPr>
      <w:r>
        <w:t>Table of Results of Hyperparameter Experimentation.</w:t>
      </w:r>
    </w:p>
    <w:p w14:paraId="4B34CBA5" w14:textId="2B7913D9" w:rsidR="002C16CB" w:rsidRPr="00ED361E" w:rsidRDefault="00EC30CF" w:rsidP="002C16CB">
      <w:pPr>
        <w:pStyle w:val="BodyText"/>
      </w:pPr>
      <w:r w:rsidRPr="00EC30CF">
        <w:t xml:space="preserve">The hyperparameter search was conducted in a systematic manner, where ten different configurations were tested (Experiments 0-9) to achieve the best performance of the fine-tuned all-MiniLM-L6-v2 model on the semantic similarity task. The main metric for evaluating performance was the Spearman and Pearson correlation coefficients on the validation set; training time has also been tracked for efficiency comparison. Experiment 2, therefore, with the middle-range learning rate at 2e-5, with </w:t>
      </w:r>
      <w:proofErr w:type="spellStart"/>
      <w:r w:rsidRPr="00EC30CF">
        <w:t>AdamW</w:t>
      </w:r>
      <w:proofErr w:type="spellEnd"/>
      <w:r w:rsidRPr="00EC30CF">
        <w:t xml:space="preserve"> for optimization, and 0.2 as the warmup schedule, had the highest overall semantic correlation of 0.8570 Spearman and 0.9131 Pearson. More importantly, one of the most sensitive hyperparameters is the choice of optimizer and learning rate. While the default option of the Adam optimizer at a middle-range learning rate (Experiment 1) was very competitive at 0.8562 Spearman, runs with very low or high learning rates have consistently returned lower correlation scores, indicating suboptimal convergence (Experiment 4, 5e-6; Experiment 9, 1e-3). Moreover, the simplest SGD optimizer in Experiment 5 was significantly worse at 0.8456 Spearman, confirming that for this task, adaptive variants like Adam and </w:t>
      </w:r>
      <w:proofErr w:type="spellStart"/>
      <w:r w:rsidRPr="00EC30CF">
        <w:t>AdamW</w:t>
      </w:r>
      <w:proofErr w:type="spellEnd"/>
      <w:r w:rsidRPr="00EC30CF">
        <w:t xml:space="preserve"> have superior convergence properties. All top models achieved results using the same training time of approximately 2.5 minutes.</w:t>
      </w:r>
    </w:p>
    <w:p w14:paraId="156C293B" w14:textId="3F2A9BA7" w:rsidR="006451B2" w:rsidRDefault="006451B2" w:rsidP="006451B2">
      <w:pPr>
        <w:pStyle w:val="Heading1"/>
      </w:pPr>
      <w:r>
        <w:t>Discussion</w:t>
      </w:r>
    </w:p>
    <w:p w14:paraId="4DEB41FA" w14:textId="45BF8FF2" w:rsidR="000B0961" w:rsidRDefault="000B0961" w:rsidP="000B0961">
      <w:pPr>
        <w:pStyle w:val="Heading2"/>
      </w:pPr>
      <w:r>
        <w:t>Impact of Learning Rate</w:t>
      </w:r>
    </w:p>
    <w:p w14:paraId="15A08F2D" w14:textId="435A0BF0" w:rsidR="000B0961" w:rsidRPr="000B0961" w:rsidRDefault="000B0961" w:rsidP="000B0961">
      <w:pPr>
        <w:pStyle w:val="BodyText"/>
      </w:pPr>
      <w:r w:rsidRPr="000B0961">
        <w:t xml:space="preserve">These results strongly indicate that the performance of the model is sensitive to the initial learning rate, which is a component of hyperparameter optimization in the fine-tuning paradigm. The optimal result is realized with a mid-range </w:t>
      </w:r>
      <w:r w:rsidRPr="000B0961">
        <w:lastRenderedPageBreak/>
        <w:t xml:space="preserve">learning rate of 2e-5 for Experiment 2, with Spearman 0.8570 and Pearson 0.9131. Both extremely low-Experiment 4, 5e-6-and high-Experiment 9, 1e-3-results degraded the final metric. The very low rate likely underfitted the model to a point where the model was unable to successfully adapt the pre-trained weights to capture domain-specific semantic nuances in the scientific data, resulting in a lower Pearson score of 0.9027. On the other hand, the high learning rate led to unstable training and likely caused overshooting in the optimal minimum, resulting in a marginal yet measurable drop in performance, as evidenced by a Spearman score of 0.8536. This confirms that a moderate learning rate is important in terms of a trade-off between rapidly adapting to the new task while preserving the valuable generalized knowledge stored in the base </w:t>
      </w:r>
      <w:proofErr w:type="spellStart"/>
      <w:r w:rsidRPr="000B0961">
        <w:t>MiniLM</w:t>
      </w:r>
      <w:proofErr w:type="spellEnd"/>
      <w:r w:rsidRPr="000B0961">
        <w:t xml:space="preserve"> weights.</w:t>
      </w:r>
    </w:p>
    <w:p w14:paraId="2815A49B" w14:textId="41ED233A" w:rsidR="000B0961" w:rsidRDefault="000B0961" w:rsidP="000B0961">
      <w:pPr>
        <w:pStyle w:val="Heading2"/>
      </w:pPr>
      <w:r>
        <w:t>Impact of Optimizer Algorithm</w:t>
      </w:r>
    </w:p>
    <w:p w14:paraId="4B95EEBB" w14:textId="0BF5E2F9" w:rsidR="000B0961" w:rsidRDefault="0093787A" w:rsidP="000B0961">
      <w:pPr>
        <w:pStyle w:val="BodyText"/>
      </w:pPr>
      <w:r w:rsidRPr="0093787A">
        <w:t xml:space="preserve">A comparison of Experiment 1 (Adam) with Experiment </w:t>
      </w:r>
      <w:r>
        <w:t>3</w:t>
      </w:r>
      <w:r w:rsidRPr="0093787A">
        <w:t xml:space="preserve"> (</w:t>
      </w:r>
      <w:proofErr w:type="spellStart"/>
      <w:r w:rsidRPr="0093787A">
        <w:t>AdamW</w:t>
      </w:r>
      <w:proofErr w:type="spellEnd"/>
      <w:r w:rsidRPr="0093787A">
        <w:t xml:space="preserve">), using the best learning rate, shows that the </w:t>
      </w:r>
      <w:proofErr w:type="spellStart"/>
      <w:r w:rsidRPr="0093787A">
        <w:t>AdamW</w:t>
      </w:r>
      <w:proofErr w:type="spellEnd"/>
      <w:r w:rsidRPr="0093787A">
        <w:t xml:space="preserve"> optimizer had a slight but significant edge. Certainly, this was the highest set of performance metrics, which indicates the effectiveness of using </w:t>
      </w:r>
      <w:proofErr w:type="spellStart"/>
      <w:r w:rsidRPr="0093787A">
        <w:t>AdamW</w:t>
      </w:r>
      <w:proofErr w:type="spellEnd"/>
      <w:r w:rsidRPr="0093787A">
        <w:t xml:space="preserve"> in the context of fine-tuning. This observed superiority is mainly because </w:t>
      </w:r>
      <w:proofErr w:type="spellStart"/>
      <w:r w:rsidRPr="0093787A">
        <w:t>AdamW</w:t>
      </w:r>
      <w:proofErr w:type="spellEnd"/>
      <w:r w:rsidRPr="0093787A">
        <w:t xml:space="preserve"> applies decoupled weight decay. Consequently, </w:t>
      </w:r>
      <w:proofErr w:type="spellStart"/>
      <w:r w:rsidRPr="0093787A">
        <w:t>AdamW</w:t>
      </w:r>
      <w:proofErr w:type="spellEnd"/>
      <w:r w:rsidRPr="0093787A">
        <w:t xml:space="preserve"> allows for stronger and more controlled regularization compared to the vanilla Adam method that incorporates weight decay into the L2 regularization inside the Adam formula. This is vital when fine-tuning deep neural networks on a smaller, domain-specific dataset, like the one derived from </w:t>
      </w:r>
      <w:proofErr w:type="spellStart"/>
      <w:r w:rsidRPr="0093787A">
        <w:t>SciTLDR</w:t>
      </w:r>
      <w:proofErr w:type="spellEnd"/>
      <w:r w:rsidRPr="0093787A">
        <w:t>, since it effectively fights overfitting and allows better generalization, which often results in slightly higher and more reliable validation scores.</w:t>
      </w:r>
    </w:p>
    <w:p w14:paraId="75458E02" w14:textId="7906D246" w:rsidR="0093787A" w:rsidRDefault="0093787A" w:rsidP="0093787A">
      <w:pPr>
        <w:pStyle w:val="Heading2"/>
      </w:pPr>
      <w:r>
        <w:t>Impact of Warmup Steps</w:t>
      </w:r>
    </w:p>
    <w:p w14:paraId="76DF5E73" w14:textId="7237631A" w:rsidR="0093787A" w:rsidRPr="0093787A" w:rsidRDefault="0093787A" w:rsidP="0093787A">
      <w:pPr>
        <w:pStyle w:val="BodyText"/>
      </w:pPr>
      <w:r w:rsidRPr="0093787A">
        <w:t xml:space="preserve">The experimentation with different warmup schedules serves to underline how necessary this procedure is to ensure stable convergence. Comparing the best-performing setup with warmup, Experiment 2 (warmup 0.2), to the exact same setup without warmup, Experiment 6, it can be seen that the presence of the warmup phase positively contributes to better final performance, Spearman 0.8570 versus 0.8567. More to </w:t>
      </w:r>
      <w:r w:rsidRPr="0093787A">
        <w:t>the point, increasing the warmup ratio to 0.4, Experiment 8, led to a decrease in performance, Spearman 0.8569, while the lack of a warmup on a standard Adam setting, Experiment 3, also led to marginal degradation. This therefore points out that the gradual increase of the learning rate in the schedule of warmups is indeed an important factor in stabilization. It prevents the immediate large updates that could lead to the catastrophic forgetting of the model's initial pre-trained state and thus allows a smoother transition to an optimized vector representation space for the semantic similarity task.</w:t>
      </w:r>
    </w:p>
    <w:p w14:paraId="23A670A1" w14:textId="77777777" w:rsidR="006451B2" w:rsidRDefault="006451B2" w:rsidP="006451B2">
      <w:pPr>
        <w:pStyle w:val="Heading1"/>
      </w:pPr>
      <w:r>
        <w:t>Conclusion</w:t>
      </w:r>
    </w:p>
    <w:p w14:paraId="5E11BE1F" w14:textId="5C94D80F" w:rsidR="0093787A" w:rsidRPr="0093787A" w:rsidRDefault="0093787A" w:rsidP="0093787A">
      <w:pPr>
        <w:pStyle w:val="BodyText"/>
      </w:pPr>
      <w:r w:rsidRPr="0093787A">
        <w:t>This paper has presented a detailed study of the fine-tuning and hyperparameter optimization process in adapting the sentence-transformers/all-MiniLM-L6-v2 model to the task of semantic sentence similarity using scientific text extracted from the Blaise-g/</w:t>
      </w:r>
      <w:proofErr w:type="spellStart"/>
      <w:r w:rsidRPr="0093787A">
        <w:t>scitldr</w:t>
      </w:r>
      <w:proofErr w:type="spellEnd"/>
      <w:r w:rsidRPr="0093787A">
        <w:t xml:space="preserve"> dataset. Our findings confirm that while pre-trained models provide an excellent foundation, the ultimate utility of the resulting tool for end-users, such as students burdened by information overload, hinges on precise configuration. We have identified through systematic experimentation that the optimal training regimen is a learning rate of 2e-5 with the </w:t>
      </w:r>
      <w:proofErr w:type="spellStart"/>
      <w:r w:rsidRPr="0093787A">
        <w:t>AdamW</w:t>
      </w:r>
      <w:proofErr w:type="spellEnd"/>
      <w:r w:rsidRPr="0093787A">
        <w:t xml:space="preserve"> optimizer and a 0.2 warmup ratio. This achieved the highest validation score of Spearman 0.8570 and Pearson 0.9131, showing that coupled weight decay and controlled learning rate schedules are of prime importance to maximize performance and generalization. This highly accurate embedding model forms one of the base components of tools which can simplify studies effectively by clustering similar concepts and looking at semantic equivalence in dense academic material.</w:t>
      </w:r>
    </w:p>
    <w:p w14:paraId="66F185F5" w14:textId="77777777" w:rsidR="006451B2" w:rsidRDefault="009303D9" w:rsidP="006451B2">
      <w:pPr>
        <w:pStyle w:val="Heading5"/>
        <w:rPr>
          <w:smallCaps w:val="0"/>
          <w:noProof w:val="0"/>
          <w:spacing w:val="-1"/>
          <w:lang w:val="x-none" w:eastAsia="x-none"/>
        </w:rPr>
      </w:pPr>
      <w:r w:rsidRPr="005B520E">
        <w:t>References</w:t>
      </w:r>
    </w:p>
    <w:p w14:paraId="4F48CE70" w14:textId="36F6A01B" w:rsidR="009029B4" w:rsidRDefault="00583003" w:rsidP="0093787A">
      <w:pPr>
        <w:pStyle w:val="references"/>
      </w:pPr>
      <w:r>
        <w:t>F. Fernández-Martínez, C. Luna-Jiménez, R. Kleinlein, D. Griol, Z. Callejas, and J. M. Montero, ‘Fine-Tuning BERT Models for Intent Recognition Using a Frequency Cut-Off Strategy for Domain-Specific Vocabulary Extension’, Applied Sciences, vol. 12, no. 3, 2022.</w:t>
      </w:r>
      <w:r w:rsidR="009303D9">
        <w:t>J. Clerk Maxwell, A Treatise on Electricity and Magnetism, 3rd ed., vol. 2. Oxford: Clarendon, 1892, pp.68–73.</w:t>
      </w:r>
    </w:p>
    <w:p w14:paraId="09591E2A" w14:textId="0AD89F52" w:rsidR="009303D9" w:rsidRDefault="009303D9" w:rsidP="009029B4">
      <w:pPr>
        <w:pStyle w:val="references"/>
        <w:numPr>
          <w:ilvl w:val="0"/>
          <w:numId w:val="0"/>
        </w:numPr>
      </w:pPr>
    </w:p>
    <w:p w14:paraId="3AE6E57C" w14:textId="77777777" w:rsidR="009303D9" w:rsidRDefault="009303D9" w:rsidP="00836367">
      <w:pPr>
        <w:pStyle w:val="references"/>
        <w:numPr>
          <w:ilvl w:val="0"/>
          <w:numId w:val="0"/>
        </w:numPr>
        <w:ind w:left="360" w:hanging="360"/>
      </w:pPr>
    </w:p>
    <w:p w14:paraId="46FE90AD" w14:textId="5C385ABC"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2F011364" w14:textId="1AD05A10"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00B3" w14:textId="77777777" w:rsidR="005313FB" w:rsidRDefault="005313FB" w:rsidP="001A3B3D">
      <w:r>
        <w:separator/>
      </w:r>
    </w:p>
  </w:endnote>
  <w:endnote w:type="continuationSeparator" w:id="0">
    <w:p w14:paraId="5A31502E" w14:textId="77777777" w:rsidR="005313FB" w:rsidRDefault="005313F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33E5"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1607" w14:textId="77777777" w:rsidR="005313FB" w:rsidRDefault="005313FB" w:rsidP="001A3B3D">
      <w:r>
        <w:separator/>
      </w:r>
    </w:p>
  </w:footnote>
  <w:footnote w:type="continuationSeparator" w:id="0">
    <w:p w14:paraId="4AD1D5CA" w14:textId="77777777" w:rsidR="005313FB" w:rsidRDefault="005313F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99186463">
    <w:abstractNumId w:val="14"/>
  </w:num>
  <w:num w:numId="2" w16cid:durableId="313874722">
    <w:abstractNumId w:val="19"/>
  </w:num>
  <w:num w:numId="3" w16cid:durableId="1232276242">
    <w:abstractNumId w:val="13"/>
  </w:num>
  <w:num w:numId="4" w16cid:durableId="1904869846">
    <w:abstractNumId w:val="16"/>
  </w:num>
  <w:num w:numId="5" w16cid:durableId="781536977">
    <w:abstractNumId w:val="16"/>
  </w:num>
  <w:num w:numId="6" w16cid:durableId="1970283756">
    <w:abstractNumId w:val="16"/>
  </w:num>
  <w:num w:numId="7" w16cid:durableId="660237442">
    <w:abstractNumId w:val="16"/>
  </w:num>
  <w:num w:numId="8" w16cid:durableId="30766574">
    <w:abstractNumId w:val="18"/>
  </w:num>
  <w:num w:numId="9" w16cid:durableId="1996255507">
    <w:abstractNumId w:val="20"/>
  </w:num>
  <w:num w:numId="10" w16cid:durableId="879050642">
    <w:abstractNumId w:val="15"/>
  </w:num>
  <w:num w:numId="11" w16cid:durableId="2006395178">
    <w:abstractNumId w:val="12"/>
  </w:num>
  <w:num w:numId="12" w16cid:durableId="1928881594">
    <w:abstractNumId w:val="11"/>
  </w:num>
  <w:num w:numId="13" w16cid:durableId="1295986882">
    <w:abstractNumId w:val="0"/>
  </w:num>
  <w:num w:numId="14" w16cid:durableId="993221663">
    <w:abstractNumId w:val="10"/>
  </w:num>
  <w:num w:numId="15" w16cid:durableId="1485659945">
    <w:abstractNumId w:val="8"/>
  </w:num>
  <w:num w:numId="16" w16cid:durableId="1629163790">
    <w:abstractNumId w:val="7"/>
  </w:num>
  <w:num w:numId="17" w16cid:durableId="74015629">
    <w:abstractNumId w:val="6"/>
  </w:num>
  <w:num w:numId="18" w16cid:durableId="1683506030">
    <w:abstractNumId w:val="5"/>
  </w:num>
  <w:num w:numId="19" w16cid:durableId="516500284">
    <w:abstractNumId w:val="9"/>
  </w:num>
  <w:num w:numId="20" w16cid:durableId="1794784223">
    <w:abstractNumId w:val="4"/>
  </w:num>
  <w:num w:numId="21" w16cid:durableId="466750129">
    <w:abstractNumId w:val="3"/>
  </w:num>
  <w:num w:numId="22" w16cid:durableId="1755322325">
    <w:abstractNumId w:val="2"/>
  </w:num>
  <w:num w:numId="23" w16cid:durableId="2134250272">
    <w:abstractNumId w:val="1"/>
  </w:num>
  <w:num w:numId="24" w16cid:durableId="18562674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DQzNbEwNjYAAiUdpeDU4uLM/DyQAqNaAOmt5xksAAAA"/>
  </w:docVars>
  <w:rsids>
    <w:rsidRoot w:val="009303D9"/>
    <w:rsid w:val="00022514"/>
    <w:rsid w:val="0004781E"/>
    <w:rsid w:val="0008758A"/>
    <w:rsid w:val="000B0961"/>
    <w:rsid w:val="000C1E68"/>
    <w:rsid w:val="001A2EFD"/>
    <w:rsid w:val="001A3B3D"/>
    <w:rsid w:val="001B67DC"/>
    <w:rsid w:val="001C0DC6"/>
    <w:rsid w:val="002254A9"/>
    <w:rsid w:val="00233D97"/>
    <w:rsid w:val="002347A2"/>
    <w:rsid w:val="002850E3"/>
    <w:rsid w:val="002C16CB"/>
    <w:rsid w:val="00351835"/>
    <w:rsid w:val="00354FCF"/>
    <w:rsid w:val="003A19E2"/>
    <w:rsid w:val="003B4E04"/>
    <w:rsid w:val="003F5A08"/>
    <w:rsid w:val="00420716"/>
    <w:rsid w:val="004325FB"/>
    <w:rsid w:val="004432BA"/>
    <w:rsid w:val="0044407E"/>
    <w:rsid w:val="00447BB9"/>
    <w:rsid w:val="0046031D"/>
    <w:rsid w:val="004D72B5"/>
    <w:rsid w:val="005313FB"/>
    <w:rsid w:val="00551B7F"/>
    <w:rsid w:val="0056610F"/>
    <w:rsid w:val="00570824"/>
    <w:rsid w:val="00575BCA"/>
    <w:rsid w:val="00583003"/>
    <w:rsid w:val="005B0344"/>
    <w:rsid w:val="005B520E"/>
    <w:rsid w:val="005E2800"/>
    <w:rsid w:val="005F16C0"/>
    <w:rsid w:val="00605825"/>
    <w:rsid w:val="006451B2"/>
    <w:rsid w:val="00645D22"/>
    <w:rsid w:val="00651A08"/>
    <w:rsid w:val="00654204"/>
    <w:rsid w:val="00656C8A"/>
    <w:rsid w:val="00670434"/>
    <w:rsid w:val="0068476E"/>
    <w:rsid w:val="006B6B66"/>
    <w:rsid w:val="006F6D3D"/>
    <w:rsid w:val="00703DBE"/>
    <w:rsid w:val="00715BEA"/>
    <w:rsid w:val="00740EEA"/>
    <w:rsid w:val="00794804"/>
    <w:rsid w:val="007B33F1"/>
    <w:rsid w:val="007B6DDA"/>
    <w:rsid w:val="007C0308"/>
    <w:rsid w:val="007C2FF2"/>
    <w:rsid w:val="007D6232"/>
    <w:rsid w:val="007F1F99"/>
    <w:rsid w:val="007F768F"/>
    <w:rsid w:val="00807120"/>
    <w:rsid w:val="0080791D"/>
    <w:rsid w:val="00836367"/>
    <w:rsid w:val="00873603"/>
    <w:rsid w:val="00874076"/>
    <w:rsid w:val="008964C0"/>
    <w:rsid w:val="008A2C7D"/>
    <w:rsid w:val="008C4B23"/>
    <w:rsid w:val="008F6E2C"/>
    <w:rsid w:val="009029B4"/>
    <w:rsid w:val="009230AF"/>
    <w:rsid w:val="009303D9"/>
    <w:rsid w:val="00933C64"/>
    <w:rsid w:val="0093787A"/>
    <w:rsid w:val="00972203"/>
    <w:rsid w:val="009F1D79"/>
    <w:rsid w:val="00A059B3"/>
    <w:rsid w:val="00AE3409"/>
    <w:rsid w:val="00B11A60"/>
    <w:rsid w:val="00B22613"/>
    <w:rsid w:val="00B768D1"/>
    <w:rsid w:val="00BA1025"/>
    <w:rsid w:val="00BC3420"/>
    <w:rsid w:val="00BD29F9"/>
    <w:rsid w:val="00BD670B"/>
    <w:rsid w:val="00BE7D3C"/>
    <w:rsid w:val="00BF57A5"/>
    <w:rsid w:val="00BF5FF6"/>
    <w:rsid w:val="00C0207F"/>
    <w:rsid w:val="00C16117"/>
    <w:rsid w:val="00C3075A"/>
    <w:rsid w:val="00C919A4"/>
    <w:rsid w:val="00CA4392"/>
    <w:rsid w:val="00CC393F"/>
    <w:rsid w:val="00D2176E"/>
    <w:rsid w:val="00D36D23"/>
    <w:rsid w:val="00D632BE"/>
    <w:rsid w:val="00D72D06"/>
    <w:rsid w:val="00D7522C"/>
    <w:rsid w:val="00D7536F"/>
    <w:rsid w:val="00D76668"/>
    <w:rsid w:val="00E07383"/>
    <w:rsid w:val="00E165BC"/>
    <w:rsid w:val="00E61E12"/>
    <w:rsid w:val="00E7596C"/>
    <w:rsid w:val="00E878F2"/>
    <w:rsid w:val="00EA0813"/>
    <w:rsid w:val="00EC30CF"/>
    <w:rsid w:val="00ED0149"/>
    <w:rsid w:val="00ED361E"/>
    <w:rsid w:val="00EF7DE3"/>
    <w:rsid w:val="00F03103"/>
    <w:rsid w:val="00F271DE"/>
    <w:rsid w:val="00F627DA"/>
    <w:rsid w:val="00F7288F"/>
    <w:rsid w:val="00F847A6"/>
    <w:rsid w:val="00F9441B"/>
    <w:rsid w:val="00FA4C32"/>
    <w:rsid w:val="00FE14D4"/>
    <w:rsid w:val="00FE71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C4AB6"/>
  <w15:chartTrackingRefBased/>
  <w15:docId w15:val="{E3248A5D-5740-45F8-9D88-F3E1C3DE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ED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C16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6E0AD8AB93B4FBC95E5AFF2B823EC" ma:contentTypeVersion="10" ma:contentTypeDescription="Create a new document." ma:contentTypeScope="" ma:versionID="4cb002dec7df845156af627b78fa3301">
  <xsd:schema xmlns:xsd="http://www.w3.org/2001/XMLSchema" xmlns:xs="http://www.w3.org/2001/XMLSchema" xmlns:p="http://schemas.microsoft.com/office/2006/metadata/properties" xmlns:ns2="1e843a5c-388b-40c7-b5c2-0cb1335beb9f" xmlns:ns3="85cf6750-fa67-4ddf-907d-94fc8e3b3ddb" targetNamespace="http://schemas.microsoft.com/office/2006/metadata/properties" ma:root="true" ma:fieldsID="39f56c7c2d499e72f0aff5ac302582d8" ns2:_="" ns3:_="">
    <xsd:import namespace="1e843a5c-388b-40c7-b5c2-0cb1335beb9f"/>
    <xsd:import namespace="85cf6750-fa67-4ddf-907d-94fc8e3b3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3a5c-388b-40c7-b5c2-0cb1335be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c3850-1993-4f1b-9b4f-d31e9e6f4f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f6750-fa67-4ddf-907d-94fc8e3b3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fa583-1b9b-4540-8e6c-cea6b43bfba4}" ma:internalName="TaxCatchAll" ma:showField="CatchAllData" ma:web="85cf6750-fa67-4ddf-907d-94fc8e3b3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cf6750-fa67-4ddf-907d-94fc8e3b3ddb"/>
    <lcf76f155ced4ddcb4097134ff3c332f xmlns="1e843a5c-388b-40c7-b5c2-0cb1335be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A1AE0-9068-4847-9190-64ADECF724D7}">
  <ds:schemaRefs>
    <ds:schemaRef ds:uri="http://schemas.openxmlformats.org/officeDocument/2006/bibliography"/>
  </ds:schemaRefs>
</ds:datastoreItem>
</file>

<file path=customXml/itemProps2.xml><?xml version="1.0" encoding="utf-8"?>
<ds:datastoreItem xmlns:ds="http://schemas.openxmlformats.org/officeDocument/2006/customXml" ds:itemID="{B8F2DB5A-25B5-4DB6-A5DC-585825CD1EE9}">
  <ds:schemaRefs>
    <ds:schemaRef ds:uri="http://schemas.microsoft.com/sharepoint/v3/contenttype/forms"/>
  </ds:schemaRefs>
</ds:datastoreItem>
</file>

<file path=customXml/itemProps3.xml><?xml version="1.0" encoding="utf-8"?>
<ds:datastoreItem xmlns:ds="http://schemas.openxmlformats.org/officeDocument/2006/customXml" ds:itemID="{42DE1803-DD7B-4854-BC68-601D4B62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3a5c-388b-40c7-b5c2-0cb1335beb9f"/>
    <ds:schemaRef ds:uri="85cf6750-fa67-4ddf-907d-94fc8e3b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92BA0-B673-46AB-AD1D-EBAF7F02865D}">
  <ds:schemaRefs>
    <ds:schemaRef ds:uri="http://schemas.microsoft.com/office/2006/metadata/properties"/>
    <ds:schemaRef ds:uri="http://schemas.microsoft.com/office/infopath/2007/PartnerControls"/>
    <ds:schemaRef ds:uri="85cf6750-fa67-4ddf-907d-94fc8e3b3ddb"/>
    <ds:schemaRef ds:uri="1e843a5c-388b-40c7-b5c2-0cb1335beb9f"/>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Charles Aaron</cp:lastModifiedBy>
  <cp:revision>15</cp:revision>
  <dcterms:created xsi:type="dcterms:W3CDTF">2025-11-04T09:14:00Z</dcterms:created>
  <dcterms:modified xsi:type="dcterms:W3CDTF">2025-11-04T13:28:00Z</dcterms:modified>
</cp:coreProperties>
</file>