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DE03" w14:textId="67580393" w:rsidR="009303D9" w:rsidRPr="009230AF" w:rsidRDefault="0005519D" w:rsidP="009230AF">
      <w:pPr>
        <w:pStyle w:val="papertitle"/>
        <w:spacing w:before="100" w:beforeAutospacing="1" w:after="100" w:afterAutospacing="1"/>
      </w:pPr>
      <w:r>
        <w:t>Automated Grid Search for Critical Hyperparameter Tuning: Maximizing Semantic Similarity Performance on Scientific Literature</w:t>
      </w:r>
    </w:p>
    <w:p w14:paraId="57DD08E2" w14:textId="77777777" w:rsidR="00D7522C" w:rsidRDefault="00D7522C" w:rsidP="003B4E04">
      <w:pPr>
        <w:pStyle w:val="Author"/>
        <w:spacing w:before="100" w:beforeAutospacing="1" w:after="100" w:afterAutospacing="1" w:line="120" w:lineRule="auto"/>
        <w:rPr>
          <w:sz w:val="16"/>
          <w:szCs w:val="16"/>
        </w:rPr>
      </w:pPr>
    </w:p>
    <w:p w14:paraId="55AAA03D"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11"/>
          <w:pgSz w:w="11906" w:h="16838" w:code="9"/>
          <w:pgMar w:top="540" w:right="893" w:bottom="1440" w:left="893" w:header="720" w:footer="720" w:gutter="0"/>
          <w:cols w:space="720"/>
          <w:titlePg/>
          <w:docGrid w:linePitch="360"/>
        </w:sectPr>
      </w:pPr>
    </w:p>
    <w:p w14:paraId="7C4AE41D" w14:textId="7B3B05C8" w:rsidR="001A3B3D" w:rsidRPr="00F847A6" w:rsidRDefault="009230AF" w:rsidP="009230AF">
      <w:pPr>
        <w:pStyle w:val="Author"/>
        <w:spacing w:before="100" w:beforeAutospacing="1"/>
        <w:rPr>
          <w:sz w:val="18"/>
          <w:szCs w:val="18"/>
        </w:rPr>
      </w:pPr>
      <w:r>
        <w:rPr>
          <w:sz w:val="18"/>
          <w:szCs w:val="18"/>
        </w:rPr>
        <w:t>Charles Aaron Sarmiento</w:t>
      </w:r>
      <w:r w:rsidR="001A3B3D" w:rsidRPr="00F847A6">
        <w:rPr>
          <w:sz w:val="18"/>
          <w:szCs w:val="18"/>
        </w:rPr>
        <w:br/>
      </w:r>
      <w:r w:rsidRPr="009230AF">
        <w:rPr>
          <w:i/>
          <w:iCs/>
          <w:sz w:val="18"/>
          <w:szCs w:val="18"/>
        </w:rPr>
        <w:t>ITE Elective IV – 401I</w:t>
      </w:r>
      <w:r w:rsidR="00D72D06" w:rsidRPr="00F847A6">
        <w:rPr>
          <w:sz w:val="18"/>
          <w:szCs w:val="18"/>
        </w:rPr>
        <w:br/>
      </w:r>
      <w:r w:rsidRPr="009230AF">
        <w:rPr>
          <w:i/>
          <w:iCs/>
          <w:sz w:val="18"/>
          <w:szCs w:val="18"/>
        </w:rPr>
        <w:t>Jose Rizal University</w:t>
      </w:r>
      <w:r w:rsidR="001A3B3D" w:rsidRPr="00F847A6">
        <w:rPr>
          <w:i/>
          <w:sz w:val="18"/>
          <w:szCs w:val="18"/>
        </w:rPr>
        <w:br/>
      </w:r>
      <w:r>
        <w:rPr>
          <w:sz w:val="18"/>
          <w:szCs w:val="18"/>
        </w:rPr>
        <w:t>Mandaluyong City, Philippines</w:t>
      </w:r>
      <w:r w:rsidR="001A3B3D" w:rsidRPr="00F847A6">
        <w:rPr>
          <w:sz w:val="18"/>
          <w:szCs w:val="18"/>
        </w:rPr>
        <w:br/>
      </w:r>
      <w:r>
        <w:rPr>
          <w:sz w:val="18"/>
          <w:szCs w:val="18"/>
        </w:rPr>
        <w:t>charlesaaron.sarmiento@my.jru.edu</w:t>
      </w:r>
    </w:p>
    <w:p w14:paraId="12013599" w14:textId="77777777" w:rsidR="009230AF" w:rsidRDefault="009230AF" w:rsidP="00447BB9">
      <w:pPr>
        <w:pStyle w:val="Author"/>
        <w:spacing w:before="100" w:beforeAutospacing="1"/>
        <w:sectPr w:rsidR="009230AF" w:rsidSect="009230AF">
          <w:type w:val="continuous"/>
          <w:pgSz w:w="11906" w:h="16838" w:code="9"/>
          <w:pgMar w:top="450" w:right="893" w:bottom="1440" w:left="893" w:header="720" w:footer="720" w:gutter="0"/>
          <w:cols w:space="720"/>
          <w:docGrid w:linePitch="360"/>
        </w:sectPr>
      </w:pPr>
    </w:p>
    <w:p w14:paraId="601E36ED" w14:textId="77777777" w:rsidR="00447BB9" w:rsidRDefault="00447BB9" w:rsidP="009230AF">
      <w:pPr>
        <w:pStyle w:val="Author"/>
        <w:spacing w:before="100" w:beforeAutospacing="1"/>
      </w:pPr>
    </w:p>
    <w:p w14:paraId="022E0ED3"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3BFB5745"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344FC8C3" w14:textId="5F4E0A61" w:rsidR="004D72B5" w:rsidRDefault="009303D9" w:rsidP="00972203">
      <w:pPr>
        <w:pStyle w:val="Abstract"/>
        <w:rPr>
          <w:i/>
          <w:iCs/>
        </w:rPr>
      </w:pPr>
      <w:r>
        <w:rPr>
          <w:i/>
          <w:iCs/>
        </w:rPr>
        <w:t>Abstract</w:t>
      </w:r>
      <w:r>
        <w:t>—</w:t>
      </w:r>
      <w:r w:rsidR="005432FF" w:rsidRPr="005432FF">
        <w:t xml:space="preserve">This paper investigates the critical role of hyperparameter optimization in fine-tuning the efficient MiniLM-L6-v2 model for semantic sentence similarity, specifically within the challenging domain of scientific literature using the </w:t>
      </w:r>
      <w:proofErr w:type="spellStart"/>
      <w:r w:rsidR="005432FF" w:rsidRPr="005432FF">
        <w:t>SciTLDR</w:t>
      </w:r>
      <w:proofErr w:type="spellEnd"/>
      <w:r w:rsidR="005432FF" w:rsidRPr="005432FF">
        <w:t xml:space="preserve"> dataset. We employed an automated Grid Search strategy to efficiently explore the space of key parameters, including Pooling method, Dropout (DO), and Warmup Ratio (WR). The results demonstrate that the Pooling strategy is the most influential architectural choice, with </w:t>
      </w:r>
      <w:r w:rsidR="005432FF" w:rsidRPr="005432FF">
        <w:rPr>
          <w:rFonts w:hint="eastAsia"/>
        </w:rPr>
        <w:t xml:space="preserve">mean pooling models achieving significantly higher correlation scores (Pearson </w:t>
      </w:r>
      <w:r w:rsidR="005432FF" w:rsidRPr="005432FF">
        <w:rPr>
          <w:rFonts w:hint="eastAsia"/>
        </w:rPr>
        <w:t>≈</w:t>
      </w:r>
      <w:r w:rsidR="005432FF" w:rsidRPr="005432FF">
        <w:rPr>
          <w:rFonts w:hint="eastAsia"/>
        </w:rPr>
        <w:t xml:space="preserve">0.91) compared to max pooling models (Pearson </w:t>
      </w:r>
      <w:r w:rsidR="005432FF" w:rsidRPr="005432FF">
        <w:rPr>
          <w:rFonts w:hint="eastAsia"/>
        </w:rPr>
        <w:t>≈</w:t>
      </w:r>
      <w:r w:rsidR="005432FF" w:rsidRPr="005432FF">
        <w:rPr>
          <w:rFonts w:hint="eastAsia"/>
        </w:rPr>
        <w:t>0.53). Variations in DO and WR were found to have only a marginal effect within the optimal mean pooling configurations. The best</w:t>
      </w:r>
      <w:r w:rsidR="005432FF" w:rsidRPr="005432FF">
        <w:t xml:space="preserve"> configuration, Experiment 1 (DO=0.1, WR=0.05, mean pooling), yielded the highest correlation (Pearson=0.9110, Spearman=0.8554). This study confirms the overwhelming necessity of selecting the correct Pooling method and validates the efficiency of Grid Search in identifying critical hyperparameters for maximizing embedding quality.</w:t>
      </w:r>
    </w:p>
    <w:p w14:paraId="6E4DEB90" w14:textId="4736F7E0" w:rsidR="005432FF" w:rsidRDefault="004D72B5" w:rsidP="00514000">
      <w:pPr>
        <w:pStyle w:val="Keywords"/>
      </w:pPr>
      <w:r w:rsidRPr="004D72B5">
        <w:t>Keywords—</w:t>
      </w:r>
      <w:r w:rsidR="005432FF" w:rsidRPr="005432FF">
        <w:t xml:space="preserve">Semantic Similarity, Hyperparameter Optimization, </w:t>
      </w:r>
      <w:proofErr w:type="spellStart"/>
      <w:r w:rsidR="005432FF" w:rsidRPr="005432FF">
        <w:t>MiniLM</w:t>
      </w:r>
      <w:proofErr w:type="spellEnd"/>
      <w:r w:rsidR="005432FF" w:rsidRPr="005432FF">
        <w:t xml:space="preserve">, Sentence Transformers, Grid Search, Pooling, </w:t>
      </w:r>
      <w:proofErr w:type="spellStart"/>
      <w:r w:rsidR="005432FF" w:rsidRPr="005432FF">
        <w:t>SciTLDR</w:t>
      </w:r>
      <w:proofErr w:type="spellEnd"/>
      <w:r w:rsidR="005432FF" w:rsidRPr="005432FF">
        <w:t>, Natural Language Processing.</w:t>
      </w:r>
    </w:p>
    <w:p w14:paraId="680306EB" w14:textId="4FF1120A" w:rsidR="009303D9" w:rsidRPr="00D632BE" w:rsidRDefault="009303D9" w:rsidP="005432FF">
      <w:pPr>
        <w:pStyle w:val="Heading1"/>
      </w:pPr>
      <w:r w:rsidRPr="00D632BE">
        <w:t>Introduction</w:t>
      </w:r>
    </w:p>
    <w:p w14:paraId="0D1E79D6" w14:textId="77777777" w:rsidR="002E7531" w:rsidRDefault="002E7531" w:rsidP="001C0DC6">
      <w:pPr>
        <w:pStyle w:val="BodyText"/>
      </w:pPr>
      <w:r w:rsidRPr="002E7531">
        <w:t xml:space="preserve">Recently, the emergence of the Transformer architecture, embodied by BERT and its efficient variants such as </w:t>
      </w:r>
      <w:proofErr w:type="spellStart"/>
      <w:r w:rsidRPr="002E7531">
        <w:t>MiniLM</w:t>
      </w:r>
      <w:proofErr w:type="spellEnd"/>
      <w:r w:rsidRPr="002E7531">
        <w:t>, has created a paradigm shift in NLP. Pre-trained on large amounts of text, these models have an elaborate, context-rich understanding of language that can be transferred to task-specific phenomena through a procedure called fine-tuning. This approach of transfer learning is currently the go-to methodology for obtaining top performance within a range of applications: from sentiment analysis and named entity recognition to, most relevantly, semantic similarity.</w:t>
      </w:r>
    </w:p>
    <w:p w14:paraId="33ECD298" w14:textId="604B956A" w:rsidR="002E7531" w:rsidRDefault="002E7531" w:rsidP="001C0DC6">
      <w:pPr>
        <w:pStyle w:val="BodyText"/>
      </w:pPr>
      <w:r w:rsidRPr="002E7531">
        <w:t xml:space="preserve">Semantic sentence similarity involves quantifying the degree of meaning equivalence between two pieces of text. This is an important task that helps systems such as duplicate detection and information retrieval. This exercise focuses on a specific, challenging sub-domain: scientific literature. For this, we use the </w:t>
      </w:r>
      <w:proofErr w:type="spellStart"/>
      <w:r w:rsidRPr="002E7531">
        <w:t>SciTLDR</w:t>
      </w:r>
      <w:proofErr w:type="spellEnd"/>
      <w:r w:rsidRPr="002E7531">
        <w:t xml:space="preserve"> dataset, which pairs academic abstracts with their concise, human-written summaries, or TLDRs. By treating these paired Abstract-TLDR sentences as highly similar positive examples, the fine-tuning objective is to adapt the base sentence-transformers/all-MiniLM-L6-v2 model to generate embedding vectors where semantic equivalence is maximized. The success of this adaptation is measured by using Spearman's rank correlation coefficient (ρ) </w:t>
      </w:r>
      <w:r w:rsidRPr="002E7531">
        <w:t>and Pearson's product-moment correlation coefficient (r), standard metrics for embedding quality in this context.</w:t>
      </w:r>
    </w:p>
    <w:p w14:paraId="4D4963CB" w14:textId="0D4F65B6" w:rsidR="002E7531" w:rsidRDefault="002E7531" w:rsidP="001C0DC6">
      <w:pPr>
        <w:pStyle w:val="BodyText"/>
      </w:pPr>
      <w:r w:rsidRPr="002E7531">
        <w:t>The final performance ceiling of the fine-tuned model greatly depends on the specific hyperparameter setting. Important parameters include the Learning Rate (η), and the Warmup Ratio for the learning rate schedule, all of which greatly influence the course of training and the generalization capability of the resulting model. Traditionally, finding the optimal set of such values has involved either systematic searches, such as Grid Search, or manual trial and error. The inefficiencies of those approaches-a prohibitively expensive Grid Search and a more intuitive manual search, in particular-necessitate a smarter optimization technique.</w:t>
      </w:r>
    </w:p>
    <w:p w14:paraId="4EDB01DC" w14:textId="1A0E4992" w:rsidR="002E7531" w:rsidRDefault="002E7531" w:rsidP="001C0DC6">
      <w:pPr>
        <w:pStyle w:val="BodyText"/>
      </w:pPr>
      <w:r w:rsidRPr="002E7531">
        <w:t xml:space="preserve">Building on previous systematic studies, the focus of this work is to go beyond the targeted, manual exploration of hyperparameter space. We will adopt an automated </w:t>
      </w:r>
      <w:r w:rsidR="000109FC">
        <w:t xml:space="preserve">Grid </w:t>
      </w:r>
      <w:r w:rsidRPr="002E7531">
        <w:t xml:space="preserve">Search strategy in order to efficiently explore the hyperparameter space. The inherent value of </w:t>
      </w:r>
      <w:r w:rsidR="000109FC">
        <w:t>Grid</w:t>
      </w:r>
      <w:r w:rsidRPr="002E7531">
        <w:t xml:space="preserve"> Search lies in its capability to sample a wider range of values within a fixed time budget and often uncovers better configurations in fewer total evaluations compared to a rigid Grid Search. In particular, we are going to implement and run </w:t>
      </w:r>
      <w:r w:rsidR="000109FC">
        <w:t>Grid</w:t>
      </w:r>
      <w:r w:rsidRPr="002E7531">
        <w:t xml:space="preserve"> Search in a predefined range over the most important hyperparameters with the purpose of finding the configuration that yields the highest correlation scores for the semantic similarity task and thus quantifying the value of this automated optimization technique.</w:t>
      </w:r>
    </w:p>
    <w:p w14:paraId="7FAAB798" w14:textId="2C7E9E97" w:rsidR="009303D9" w:rsidRDefault="006451B2" w:rsidP="001C0DC6">
      <w:pPr>
        <w:pStyle w:val="Heading1"/>
      </w:pPr>
      <w:r>
        <w:t>Methodology</w:t>
      </w:r>
    </w:p>
    <w:p w14:paraId="358BCDF3" w14:textId="7EF8071B" w:rsidR="00D36D23" w:rsidRDefault="00D36D23" w:rsidP="00D36D23">
      <w:pPr>
        <w:pStyle w:val="Heading2"/>
      </w:pPr>
      <w:r>
        <w:t xml:space="preserve">Data </w:t>
      </w:r>
      <w:r w:rsidR="00BD29F9">
        <w:t>Preparatio</w:t>
      </w:r>
      <w:r w:rsidR="00656C8A">
        <w:t>n</w:t>
      </w:r>
    </w:p>
    <w:p w14:paraId="7BAAA564" w14:textId="537CF06D" w:rsidR="00656C8A" w:rsidRPr="00656C8A" w:rsidRDefault="00656C8A" w:rsidP="00656C8A">
      <w:pPr>
        <w:pStyle w:val="BodyText"/>
      </w:pPr>
      <w:r w:rsidRPr="00656C8A">
        <w:t>Training and fine-tuning start from the Blaise-g/</w:t>
      </w:r>
      <w:proofErr w:type="spellStart"/>
      <w:r w:rsidRPr="00656C8A">
        <w:t>scitldr</w:t>
      </w:r>
      <w:proofErr w:type="spellEnd"/>
      <w:r w:rsidRPr="00656C8A">
        <w:t xml:space="preserve"> dataset obtained directly from the Hugging Face Hub. Although that dataset was originally constructed for an extreme summarization task, namely to generate "Too Long; Didn't Read" summaries for scientific papers, it contains everything necessary in the structure for a semantic similarity task. The dataset provides pairs of text: the long-form scientific abstract sentences and their corresponding, highly condensed TLDR summaries. As mentioned, the main objective of semantic similarity fine-tuning is to teach the model to map semantically equivalent texts to nearby points in vector space. Hence, the abstract sentence and its associated TLDR summary are treated as a positive sentence pair with high inherent semantic similarity, effectively converting the summarization dataset into a Sentence Textual Similarity (STS) training corpus. This paired data is then loaded and transformed into the input format required by the Sentence </w:t>
      </w:r>
      <w:r w:rsidRPr="00656C8A">
        <w:lastRenderedPageBreak/>
        <w:t xml:space="preserve">Transformers library, typically an </w:t>
      </w:r>
      <w:proofErr w:type="spellStart"/>
      <w:r w:rsidRPr="00656C8A">
        <w:t>iterable</w:t>
      </w:r>
      <w:proofErr w:type="spellEnd"/>
      <w:r w:rsidRPr="00656C8A">
        <w:t xml:space="preserve"> of </w:t>
      </w:r>
      <w:proofErr w:type="spellStart"/>
      <w:r w:rsidRPr="00656C8A">
        <w:t>InputExample</w:t>
      </w:r>
      <w:proofErr w:type="spellEnd"/>
      <w:r w:rsidRPr="00656C8A">
        <w:t xml:space="preserve"> objects, which will facilitate contrastive or triplet loss functions driving the model towards learning robust similarity embeddings.</w:t>
      </w:r>
    </w:p>
    <w:p w14:paraId="46AFCA11" w14:textId="2C6B7FB5" w:rsidR="00D36D23" w:rsidRDefault="00BD29F9" w:rsidP="00D36D23">
      <w:pPr>
        <w:pStyle w:val="Heading2"/>
      </w:pPr>
      <w:r>
        <w:t>Pre-trained Model Definition and Tokenization</w:t>
      </w:r>
    </w:p>
    <w:p w14:paraId="211FF11F" w14:textId="3D1A5011" w:rsidR="00656C8A" w:rsidRPr="00656C8A" w:rsidRDefault="00656C8A" w:rsidP="00656C8A">
      <w:pPr>
        <w:pStyle w:val="BodyText"/>
      </w:pPr>
      <w:r w:rsidRPr="00656C8A">
        <w:t xml:space="preserve">The foundation of this study is the sentence-transformers/all-MiniLM-L6-v2 model. This architecture is a highly efficient and fast variant of BERT, utilizing a smaller number of Transformer layers (6 layers) and a reduced hidden dimension, making it ideal for large-scale embedding tasks where computational efficiency is a concern. The model is instantiated directly using the Python </w:t>
      </w:r>
      <w:proofErr w:type="spellStart"/>
      <w:r w:rsidRPr="00656C8A">
        <w:t>SentenceTransformer</w:t>
      </w:r>
      <w:proofErr w:type="spellEnd"/>
      <w:r w:rsidRPr="00656C8A">
        <w:t xml:space="preserve"> library, which automatically handles the intricate process of loading the pre-trained weights, the tokenizer, and the required pooling layer (typically Mean Pooling for creating a single sentence vector). The accompanying tokenizer is responsible for segmenting input text into tokens, mapping them to the model's vocabulary, and preparing the necessary input tensors, including attention masks and token type IDs. This pre-defined setup ensures that the texts from the </w:t>
      </w:r>
      <w:proofErr w:type="spellStart"/>
      <w:r w:rsidRPr="00656C8A">
        <w:t>SciTLDR</w:t>
      </w:r>
      <w:proofErr w:type="spellEnd"/>
      <w:r w:rsidRPr="00656C8A">
        <w:t xml:space="preserve"> dataset are processed into the 384-dimensional dense vector space for which the </w:t>
      </w:r>
      <w:proofErr w:type="spellStart"/>
      <w:r w:rsidRPr="00656C8A">
        <w:t>MiniLM</w:t>
      </w:r>
      <w:proofErr w:type="spellEnd"/>
      <w:r w:rsidRPr="00656C8A">
        <w:t xml:space="preserve"> model was specifically optimized, providing a strong initial representation before fine-tuning commences.</w:t>
      </w:r>
    </w:p>
    <w:p w14:paraId="16AC6CE7" w14:textId="3FB7FC63" w:rsidR="00D36D23" w:rsidRDefault="00BD29F9" w:rsidP="00D36D23">
      <w:pPr>
        <w:pStyle w:val="Heading2"/>
      </w:pPr>
      <w:r>
        <w:t>Training Configuration</w:t>
      </w:r>
    </w:p>
    <w:p w14:paraId="150CE957" w14:textId="62BF98B5" w:rsidR="00D03222" w:rsidRPr="00D03222" w:rsidRDefault="00D03222" w:rsidP="00D03222">
      <w:pPr>
        <w:pStyle w:val="BodyText"/>
        <w:rPr>
          <w:i/>
          <w:iCs/>
          <w:noProof/>
          <w:spacing w:val="0"/>
          <w:lang w:val="en-US" w:eastAsia="en-US"/>
        </w:rPr>
      </w:pPr>
      <w:r w:rsidRPr="00D03222">
        <w:t>The fine-tuning stage involves, but is not limited to, one important step: hyperparameter optimization, to provide maximum performance in the semantic similarity task. Some of the most important parameters that we focused on were the Learning Rate, η,</w:t>
      </w:r>
      <w:r w:rsidR="00036348">
        <w:t xml:space="preserve"> </w:t>
      </w:r>
      <w:r w:rsidRPr="00D03222">
        <w:t xml:space="preserve">and the Warmup Steps. First, the learning rate controls how much each update changes the weights; this is empirically set to a small range, for instance, from 1e-5 to 5e-5. Most importantly, the warm-up steps implement a learning rate scheduler where the learning rate increases linearly from zero to its maximum value along a fraction (the warm-up percentage) of the beginning training steps. This technique is very important when fine-tuning a pre-trained model because it avoids early weight instability and catastrophic forgetting, thus allowing for smooth and effective feature transfer. In place of a manual search, the final configuration was determined by an automated </w:t>
      </w:r>
      <w:r w:rsidR="000109FC">
        <w:t xml:space="preserve">Grid </w:t>
      </w:r>
      <w:r w:rsidRPr="00D03222">
        <w:t>Search, which sampled these parameters from predefined distributions to efficiently explore the space and identify the best-performing model checkpoint, measured by correlation scores on the validation set.</w:t>
      </w:r>
    </w:p>
    <w:p w14:paraId="0B77379C" w14:textId="21D57597" w:rsidR="00D36D23" w:rsidRDefault="00BD29F9" w:rsidP="00BD29F9">
      <w:pPr>
        <w:pStyle w:val="Heading2"/>
      </w:pPr>
      <w:r>
        <w:t>Inference Process</w:t>
      </w:r>
    </w:p>
    <w:p w14:paraId="10CB7E11" w14:textId="0EF75AB6" w:rsidR="00656C8A" w:rsidRPr="00656C8A" w:rsidRDefault="00656C8A" w:rsidP="00656C8A">
      <w:pPr>
        <w:pStyle w:val="BodyText"/>
      </w:pPr>
      <w:r w:rsidRPr="00656C8A">
        <w:t xml:space="preserve">The fine-tuned </w:t>
      </w:r>
      <w:proofErr w:type="spellStart"/>
      <w:r w:rsidRPr="00656C8A">
        <w:t>SentenceTransformer</w:t>
      </w:r>
      <w:proofErr w:type="spellEnd"/>
      <w:r w:rsidRPr="00656C8A">
        <w:t xml:space="preserve"> model is loaded and used to generate fixed-size vector embeddings for any given input sentence. To compare two sentences—Sentence A and Sentence B—the model encodes each text independently into its respective embedding vector, EA​ and EB​. The similarity score is then calculated by computing the cosine similarity between the two resulting vectors. Cosine similarity measures the angle between EA​ and EB​, producing a score between -1 (perfectly dissimilar) and +1 (perfectly similar). This score quantifies the semantic closeness between the input sentences, allowing the model to be deployed in applications like semantic search, clustering, and paraphrase detection.</w:t>
      </w:r>
    </w:p>
    <w:p w14:paraId="59837DCD" w14:textId="20FCE071" w:rsidR="006451B2" w:rsidRDefault="006451B2" w:rsidP="006451B2">
      <w:pPr>
        <w:pStyle w:val="Heading1"/>
      </w:pPr>
      <w:r>
        <w:t>Results</w:t>
      </w:r>
    </w:p>
    <w:tbl>
      <w:tblPr>
        <w:tblStyle w:val="GridTable4"/>
        <w:tblW w:w="0" w:type="auto"/>
        <w:tblLayout w:type="fixed"/>
        <w:tblLook w:val="04A0" w:firstRow="1" w:lastRow="0" w:firstColumn="1" w:lastColumn="0" w:noHBand="0" w:noVBand="1"/>
      </w:tblPr>
      <w:tblGrid>
        <w:gridCol w:w="517"/>
        <w:gridCol w:w="558"/>
        <w:gridCol w:w="810"/>
        <w:gridCol w:w="630"/>
        <w:gridCol w:w="1305"/>
        <w:gridCol w:w="1036"/>
      </w:tblGrid>
      <w:tr w:rsidR="000724D6" w14:paraId="7F46E01E" w14:textId="77777777" w:rsidTr="00504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7A04E3F4" w14:textId="0BA1DEA7" w:rsidR="000724D6" w:rsidRPr="002C16CB" w:rsidRDefault="000724D6" w:rsidP="00ED361E">
            <w:pPr>
              <w:pStyle w:val="BodyText"/>
              <w:ind w:firstLine="0"/>
              <w:jc w:val="center"/>
              <w:rPr>
                <w:sz w:val="16"/>
                <w:szCs w:val="16"/>
              </w:rPr>
            </w:pPr>
            <w:r w:rsidRPr="002C16CB">
              <w:rPr>
                <w:sz w:val="16"/>
                <w:szCs w:val="16"/>
              </w:rPr>
              <w:t xml:space="preserve">Exp </w:t>
            </w:r>
          </w:p>
        </w:tc>
        <w:tc>
          <w:tcPr>
            <w:tcW w:w="558" w:type="dxa"/>
          </w:tcPr>
          <w:p w14:paraId="28A9F2CB" w14:textId="0CA008DE" w:rsidR="000724D6" w:rsidRPr="002C16CB" w:rsidRDefault="00B472ED"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DO</w:t>
            </w:r>
          </w:p>
        </w:tc>
        <w:tc>
          <w:tcPr>
            <w:tcW w:w="810" w:type="dxa"/>
          </w:tcPr>
          <w:p w14:paraId="1AD41690" w14:textId="4FCDB608" w:rsidR="000724D6" w:rsidRPr="002C16CB" w:rsidRDefault="00B472ED"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Pooling</w:t>
            </w:r>
          </w:p>
        </w:tc>
        <w:tc>
          <w:tcPr>
            <w:tcW w:w="630" w:type="dxa"/>
          </w:tcPr>
          <w:p w14:paraId="55724A5C" w14:textId="2D20E5A5" w:rsidR="000724D6" w:rsidRPr="002C16CB" w:rsidRDefault="000724D6"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C16CB">
              <w:rPr>
                <w:sz w:val="16"/>
                <w:szCs w:val="16"/>
              </w:rPr>
              <w:t>W</w:t>
            </w:r>
            <w:r w:rsidR="00504534">
              <w:rPr>
                <w:sz w:val="16"/>
                <w:szCs w:val="16"/>
              </w:rPr>
              <w:t>R</w:t>
            </w:r>
          </w:p>
        </w:tc>
        <w:tc>
          <w:tcPr>
            <w:tcW w:w="1305" w:type="dxa"/>
          </w:tcPr>
          <w:p w14:paraId="1C9B802B" w14:textId="60FC69E2" w:rsidR="000724D6" w:rsidRPr="002C16CB" w:rsidRDefault="000724D6"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C16CB">
              <w:rPr>
                <w:sz w:val="16"/>
                <w:szCs w:val="16"/>
              </w:rPr>
              <w:t>S</w:t>
            </w:r>
            <w:r>
              <w:rPr>
                <w:sz w:val="16"/>
                <w:szCs w:val="16"/>
              </w:rPr>
              <w:t>pearman</w:t>
            </w:r>
          </w:p>
        </w:tc>
        <w:tc>
          <w:tcPr>
            <w:tcW w:w="1036" w:type="dxa"/>
          </w:tcPr>
          <w:p w14:paraId="0E9B84EB" w14:textId="1D9043AE" w:rsidR="000724D6" w:rsidRPr="002C16CB" w:rsidRDefault="000724D6"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Pearson</w:t>
            </w:r>
          </w:p>
        </w:tc>
      </w:tr>
      <w:tr w:rsidR="000724D6" w14:paraId="1F55059E" w14:textId="77777777" w:rsidTr="005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5D10DA4E" w14:textId="7733D078" w:rsidR="000724D6" w:rsidRDefault="000724D6" w:rsidP="00ED361E">
            <w:pPr>
              <w:pStyle w:val="BodyText"/>
              <w:ind w:firstLine="0"/>
            </w:pPr>
            <w:r>
              <w:t>1</w:t>
            </w:r>
          </w:p>
        </w:tc>
        <w:tc>
          <w:tcPr>
            <w:tcW w:w="558" w:type="dxa"/>
          </w:tcPr>
          <w:p w14:paraId="6A93C277" w14:textId="0AA476E0"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0.1</w:t>
            </w:r>
          </w:p>
        </w:tc>
        <w:tc>
          <w:tcPr>
            <w:tcW w:w="810" w:type="dxa"/>
          </w:tcPr>
          <w:p w14:paraId="41985128" w14:textId="558B7DE2"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mean</w:t>
            </w:r>
          </w:p>
        </w:tc>
        <w:tc>
          <w:tcPr>
            <w:tcW w:w="630" w:type="dxa"/>
          </w:tcPr>
          <w:p w14:paraId="0B6E4406" w14:textId="0C1291A3" w:rsidR="000724D6" w:rsidRDefault="000543FF" w:rsidP="00ED361E">
            <w:pPr>
              <w:pStyle w:val="BodyText"/>
              <w:ind w:firstLine="0"/>
              <w:cnfStyle w:val="000000100000" w:firstRow="0" w:lastRow="0" w:firstColumn="0" w:lastColumn="0" w:oddVBand="0" w:evenVBand="0" w:oddHBand="1" w:evenHBand="0" w:firstRowFirstColumn="0" w:firstRowLastColumn="0" w:lastRowFirstColumn="0" w:lastRowLastColumn="0"/>
            </w:pPr>
            <w:r>
              <w:t>0.</w:t>
            </w:r>
            <w:r w:rsidR="00504534">
              <w:t>05</w:t>
            </w:r>
          </w:p>
        </w:tc>
        <w:tc>
          <w:tcPr>
            <w:tcW w:w="1305" w:type="dxa"/>
          </w:tcPr>
          <w:p w14:paraId="20346184" w14:textId="21C9D1FD" w:rsidR="000724D6" w:rsidRDefault="00504534" w:rsidP="00ED361E">
            <w:pPr>
              <w:pStyle w:val="BodyText"/>
              <w:ind w:firstLine="0"/>
              <w:cnfStyle w:val="000000100000" w:firstRow="0" w:lastRow="0" w:firstColumn="0" w:lastColumn="0" w:oddVBand="0" w:evenVBand="0" w:oddHBand="1" w:evenHBand="0" w:firstRowFirstColumn="0" w:firstRowLastColumn="0" w:lastRowFirstColumn="0" w:lastRowLastColumn="0"/>
            </w:pPr>
            <w:r>
              <w:t>0.8554</w:t>
            </w:r>
          </w:p>
        </w:tc>
        <w:tc>
          <w:tcPr>
            <w:tcW w:w="1036" w:type="dxa"/>
          </w:tcPr>
          <w:p w14:paraId="1B762ACF" w14:textId="07CE8F61" w:rsidR="000724D6" w:rsidRDefault="00504534" w:rsidP="00ED361E">
            <w:pPr>
              <w:pStyle w:val="BodyText"/>
              <w:ind w:firstLine="0"/>
              <w:cnfStyle w:val="000000100000" w:firstRow="0" w:lastRow="0" w:firstColumn="0" w:lastColumn="0" w:oddVBand="0" w:evenVBand="0" w:oddHBand="1" w:evenHBand="0" w:firstRowFirstColumn="0" w:firstRowLastColumn="0" w:lastRowFirstColumn="0" w:lastRowLastColumn="0"/>
            </w:pPr>
            <w:r>
              <w:t>0.9110</w:t>
            </w:r>
          </w:p>
        </w:tc>
      </w:tr>
      <w:tr w:rsidR="000724D6" w14:paraId="64AC70B9" w14:textId="77777777" w:rsidTr="00504534">
        <w:tc>
          <w:tcPr>
            <w:cnfStyle w:val="001000000000" w:firstRow="0" w:lastRow="0" w:firstColumn="1" w:lastColumn="0" w:oddVBand="0" w:evenVBand="0" w:oddHBand="0" w:evenHBand="0" w:firstRowFirstColumn="0" w:firstRowLastColumn="0" w:lastRowFirstColumn="0" w:lastRowLastColumn="0"/>
            <w:tcW w:w="517" w:type="dxa"/>
          </w:tcPr>
          <w:p w14:paraId="1BC53DA4" w14:textId="19D17193" w:rsidR="000724D6" w:rsidRDefault="000724D6" w:rsidP="00ED361E">
            <w:pPr>
              <w:pStyle w:val="BodyText"/>
              <w:ind w:firstLine="0"/>
            </w:pPr>
            <w:r>
              <w:t>2</w:t>
            </w:r>
          </w:p>
        </w:tc>
        <w:tc>
          <w:tcPr>
            <w:tcW w:w="558" w:type="dxa"/>
          </w:tcPr>
          <w:p w14:paraId="78DA7BBD" w14:textId="17767286" w:rsidR="000724D6"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pPr>
            <w:r>
              <w:t>0.1</w:t>
            </w:r>
          </w:p>
        </w:tc>
        <w:tc>
          <w:tcPr>
            <w:tcW w:w="810" w:type="dxa"/>
          </w:tcPr>
          <w:p w14:paraId="70CA0695" w14:textId="3437A592" w:rsidR="000724D6"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pPr>
            <w:r>
              <w:t>mean</w:t>
            </w:r>
          </w:p>
        </w:tc>
        <w:tc>
          <w:tcPr>
            <w:tcW w:w="630" w:type="dxa"/>
          </w:tcPr>
          <w:p w14:paraId="116B64F6" w14:textId="3A8B9562" w:rsidR="000724D6" w:rsidRDefault="000543FF" w:rsidP="00ED361E">
            <w:pPr>
              <w:pStyle w:val="BodyText"/>
              <w:ind w:firstLine="0"/>
              <w:cnfStyle w:val="000000000000" w:firstRow="0" w:lastRow="0" w:firstColumn="0" w:lastColumn="0" w:oddVBand="0" w:evenVBand="0" w:oddHBand="0" w:evenHBand="0" w:firstRowFirstColumn="0" w:firstRowLastColumn="0" w:lastRowFirstColumn="0" w:lastRowLastColumn="0"/>
            </w:pPr>
            <w:r>
              <w:t>0</w:t>
            </w:r>
            <w:r w:rsidR="00504534">
              <w:t>.05</w:t>
            </w:r>
          </w:p>
        </w:tc>
        <w:tc>
          <w:tcPr>
            <w:tcW w:w="1305" w:type="dxa"/>
          </w:tcPr>
          <w:p w14:paraId="600CFB52" w14:textId="27CFF385" w:rsidR="000724D6" w:rsidRDefault="00504534" w:rsidP="00ED361E">
            <w:pPr>
              <w:pStyle w:val="BodyText"/>
              <w:ind w:firstLine="0"/>
              <w:cnfStyle w:val="000000000000" w:firstRow="0" w:lastRow="0" w:firstColumn="0" w:lastColumn="0" w:oddVBand="0" w:evenVBand="0" w:oddHBand="0" w:evenHBand="0" w:firstRowFirstColumn="0" w:firstRowLastColumn="0" w:lastRowFirstColumn="0" w:lastRowLastColumn="0"/>
            </w:pPr>
            <w:r>
              <w:t>0.8553</w:t>
            </w:r>
          </w:p>
        </w:tc>
        <w:tc>
          <w:tcPr>
            <w:tcW w:w="1036" w:type="dxa"/>
          </w:tcPr>
          <w:p w14:paraId="7493C9AA" w14:textId="35C4FE38" w:rsidR="000724D6" w:rsidRDefault="00504534" w:rsidP="000543FF">
            <w:pPr>
              <w:pStyle w:val="BodyText"/>
              <w:ind w:firstLine="0"/>
              <w:cnfStyle w:val="000000000000" w:firstRow="0" w:lastRow="0" w:firstColumn="0" w:lastColumn="0" w:oddVBand="0" w:evenVBand="0" w:oddHBand="0" w:evenHBand="0" w:firstRowFirstColumn="0" w:firstRowLastColumn="0" w:lastRowFirstColumn="0" w:lastRowLastColumn="0"/>
            </w:pPr>
            <w:r>
              <w:t>0.9096</w:t>
            </w:r>
          </w:p>
        </w:tc>
      </w:tr>
      <w:tr w:rsidR="000724D6" w14:paraId="6D494C78" w14:textId="77777777" w:rsidTr="005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466D4DB0" w14:textId="12FED020" w:rsidR="000724D6" w:rsidRDefault="000724D6" w:rsidP="00ED361E">
            <w:pPr>
              <w:pStyle w:val="BodyText"/>
              <w:ind w:firstLine="0"/>
            </w:pPr>
            <w:r>
              <w:t>3</w:t>
            </w:r>
          </w:p>
        </w:tc>
        <w:tc>
          <w:tcPr>
            <w:tcW w:w="558" w:type="dxa"/>
          </w:tcPr>
          <w:p w14:paraId="6A4A22AA" w14:textId="4C184435"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0.1</w:t>
            </w:r>
          </w:p>
        </w:tc>
        <w:tc>
          <w:tcPr>
            <w:tcW w:w="810" w:type="dxa"/>
          </w:tcPr>
          <w:p w14:paraId="3920C9C5" w14:textId="49FE758B"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mean</w:t>
            </w:r>
          </w:p>
        </w:tc>
        <w:tc>
          <w:tcPr>
            <w:tcW w:w="630" w:type="dxa"/>
          </w:tcPr>
          <w:p w14:paraId="39E967A1" w14:textId="4D0F4A48" w:rsidR="000724D6" w:rsidRDefault="000543FF" w:rsidP="00ED361E">
            <w:pPr>
              <w:pStyle w:val="BodyText"/>
              <w:ind w:firstLine="0"/>
              <w:cnfStyle w:val="000000100000" w:firstRow="0" w:lastRow="0" w:firstColumn="0" w:lastColumn="0" w:oddVBand="0" w:evenVBand="0" w:oddHBand="1" w:evenHBand="0" w:firstRowFirstColumn="0" w:firstRowLastColumn="0" w:lastRowFirstColumn="0" w:lastRowLastColumn="0"/>
            </w:pPr>
            <w:r>
              <w:t>0.</w:t>
            </w:r>
            <w:r w:rsidR="00504534">
              <w:t>15</w:t>
            </w:r>
          </w:p>
        </w:tc>
        <w:tc>
          <w:tcPr>
            <w:tcW w:w="1305" w:type="dxa"/>
          </w:tcPr>
          <w:p w14:paraId="4A3955E4" w14:textId="2558532D" w:rsidR="000724D6" w:rsidRDefault="00504534" w:rsidP="00ED361E">
            <w:pPr>
              <w:pStyle w:val="BodyText"/>
              <w:ind w:firstLine="0"/>
              <w:cnfStyle w:val="000000100000" w:firstRow="0" w:lastRow="0" w:firstColumn="0" w:lastColumn="0" w:oddVBand="0" w:evenVBand="0" w:oddHBand="1" w:evenHBand="0" w:firstRowFirstColumn="0" w:firstRowLastColumn="0" w:lastRowFirstColumn="0" w:lastRowLastColumn="0"/>
            </w:pPr>
            <w:r>
              <w:t>0.8553</w:t>
            </w:r>
          </w:p>
        </w:tc>
        <w:tc>
          <w:tcPr>
            <w:tcW w:w="1036" w:type="dxa"/>
          </w:tcPr>
          <w:p w14:paraId="7DB6EA59" w14:textId="61813DFA" w:rsidR="000724D6" w:rsidRDefault="00504534" w:rsidP="000543FF">
            <w:pPr>
              <w:pStyle w:val="BodyText"/>
              <w:ind w:firstLine="0"/>
              <w:cnfStyle w:val="000000100000" w:firstRow="0" w:lastRow="0" w:firstColumn="0" w:lastColumn="0" w:oddVBand="0" w:evenVBand="0" w:oddHBand="1" w:evenHBand="0" w:firstRowFirstColumn="0" w:firstRowLastColumn="0" w:lastRowFirstColumn="0" w:lastRowLastColumn="0"/>
            </w:pPr>
            <w:r>
              <w:t>0.9091</w:t>
            </w:r>
          </w:p>
        </w:tc>
      </w:tr>
      <w:tr w:rsidR="000724D6" w14:paraId="2C93EF57" w14:textId="77777777" w:rsidTr="00504534">
        <w:tc>
          <w:tcPr>
            <w:cnfStyle w:val="001000000000" w:firstRow="0" w:lastRow="0" w:firstColumn="1" w:lastColumn="0" w:oddVBand="0" w:evenVBand="0" w:oddHBand="0" w:evenHBand="0" w:firstRowFirstColumn="0" w:firstRowLastColumn="0" w:lastRowFirstColumn="0" w:lastRowLastColumn="0"/>
            <w:tcW w:w="517" w:type="dxa"/>
          </w:tcPr>
          <w:p w14:paraId="3007866A" w14:textId="5483062F" w:rsidR="000724D6" w:rsidRDefault="000724D6" w:rsidP="00ED361E">
            <w:pPr>
              <w:pStyle w:val="BodyText"/>
              <w:ind w:firstLine="0"/>
            </w:pPr>
            <w:r>
              <w:t>4</w:t>
            </w:r>
          </w:p>
        </w:tc>
        <w:tc>
          <w:tcPr>
            <w:tcW w:w="558" w:type="dxa"/>
          </w:tcPr>
          <w:p w14:paraId="2BBC5CDC" w14:textId="44E94B62" w:rsidR="000724D6"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pPr>
            <w:r>
              <w:t>0.3</w:t>
            </w:r>
          </w:p>
        </w:tc>
        <w:tc>
          <w:tcPr>
            <w:tcW w:w="810" w:type="dxa"/>
          </w:tcPr>
          <w:p w14:paraId="74434148" w14:textId="1624AB64" w:rsidR="000724D6"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pPr>
            <w:r>
              <w:t>mean</w:t>
            </w:r>
          </w:p>
        </w:tc>
        <w:tc>
          <w:tcPr>
            <w:tcW w:w="630" w:type="dxa"/>
          </w:tcPr>
          <w:p w14:paraId="532C4D6F" w14:textId="1F83247C" w:rsidR="000724D6" w:rsidRDefault="000543FF" w:rsidP="00ED361E">
            <w:pPr>
              <w:pStyle w:val="BodyText"/>
              <w:ind w:firstLine="0"/>
              <w:cnfStyle w:val="000000000000" w:firstRow="0" w:lastRow="0" w:firstColumn="0" w:lastColumn="0" w:oddVBand="0" w:evenVBand="0" w:oddHBand="0" w:evenHBand="0" w:firstRowFirstColumn="0" w:firstRowLastColumn="0" w:lastRowFirstColumn="0" w:lastRowLastColumn="0"/>
            </w:pPr>
            <w:r>
              <w:t>0.</w:t>
            </w:r>
            <w:r w:rsidR="00504534">
              <w:t>15</w:t>
            </w:r>
          </w:p>
        </w:tc>
        <w:tc>
          <w:tcPr>
            <w:tcW w:w="1305" w:type="dxa"/>
          </w:tcPr>
          <w:p w14:paraId="65A372EA" w14:textId="5E97477F" w:rsidR="000724D6" w:rsidRDefault="00504534" w:rsidP="00ED361E">
            <w:pPr>
              <w:pStyle w:val="BodyText"/>
              <w:ind w:firstLine="0"/>
              <w:cnfStyle w:val="000000000000" w:firstRow="0" w:lastRow="0" w:firstColumn="0" w:lastColumn="0" w:oddVBand="0" w:evenVBand="0" w:oddHBand="0" w:evenHBand="0" w:firstRowFirstColumn="0" w:firstRowLastColumn="0" w:lastRowFirstColumn="0" w:lastRowLastColumn="0"/>
            </w:pPr>
            <w:r>
              <w:t>0.8553</w:t>
            </w:r>
          </w:p>
        </w:tc>
        <w:tc>
          <w:tcPr>
            <w:tcW w:w="1036" w:type="dxa"/>
          </w:tcPr>
          <w:p w14:paraId="20C12422" w14:textId="418546EB" w:rsidR="000724D6" w:rsidRDefault="00504534" w:rsidP="000543FF">
            <w:pPr>
              <w:pStyle w:val="BodyText"/>
              <w:ind w:firstLine="0"/>
              <w:cnfStyle w:val="000000000000" w:firstRow="0" w:lastRow="0" w:firstColumn="0" w:lastColumn="0" w:oddVBand="0" w:evenVBand="0" w:oddHBand="0" w:evenHBand="0" w:firstRowFirstColumn="0" w:firstRowLastColumn="0" w:lastRowFirstColumn="0" w:lastRowLastColumn="0"/>
            </w:pPr>
            <w:r>
              <w:t>0.9091</w:t>
            </w:r>
          </w:p>
        </w:tc>
      </w:tr>
      <w:tr w:rsidR="000724D6" w14:paraId="6BB738FA" w14:textId="77777777" w:rsidTr="005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42519EEB" w14:textId="41911982" w:rsidR="000724D6" w:rsidRDefault="000724D6" w:rsidP="00ED361E">
            <w:pPr>
              <w:pStyle w:val="BodyText"/>
              <w:ind w:firstLine="0"/>
            </w:pPr>
            <w:r>
              <w:t>5</w:t>
            </w:r>
          </w:p>
        </w:tc>
        <w:tc>
          <w:tcPr>
            <w:tcW w:w="558" w:type="dxa"/>
          </w:tcPr>
          <w:p w14:paraId="504A6DB2" w14:textId="6253FC68"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0.1</w:t>
            </w:r>
          </w:p>
        </w:tc>
        <w:tc>
          <w:tcPr>
            <w:tcW w:w="810" w:type="dxa"/>
          </w:tcPr>
          <w:p w14:paraId="525F14B6" w14:textId="108BDBAB"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mean</w:t>
            </w:r>
          </w:p>
        </w:tc>
        <w:tc>
          <w:tcPr>
            <w:tcW w:w="630" w:type="dxa"/>
          </w:tcPr>
          <w:p w14:paraId="24AA7C29" w14:textId="34EA73C9" w:rsidR="000724D6" w:rsidRDefault="000543FF" w:rsidP="00ED361E">
            <w:pPr>
              <w:pStyle w:val="BodyText"/>
              <w:ind w:firstLine="0"/>
              <w:cnfStyle w:val="000000100000" w:firstRow="0" w:lastRow="0" w:firstColumn="0" w:lastColumn="0" w:oddVBand="0" w:evenVBand="0" w:oddHBand="1" w:evenHBand="0" w:firstRowFirstColumn="0" w:firstRowLastColumn="0" w:lastRowFirstColumn="0" w:lastRowLastColumn="0"/>
            </w:pPr>
            <w:r>
              <w:t>0.</w:t>
            </w:r>
            <w:r w:rsidR="00504534">
              <w:t>30</w:t>
            </w:r>
          </w:p>
        </w:tc>
        <w:tc>
          <w:tcPr>
            <w:tcW w:w="1305" w:type="dxa"/>
          </w:tcPr>
          <w:p w14:paraId="3B69F5E7" w14:textId="40AF0AB0" w:rsidR="000724D6" w:rsidRDefault="00504534" w:rsidP="00ED361E">
            <w:pPr>
              <w:pStyle w:val="BodyText"/>
              <w:ind w:firstLine="0"/>
              <w:cnfStyle w:val="000000100000" w:firstRow="0" w:lastRow="0" w:firstColumn="0" w:lastColumn="0" w:oddVBand="0" w:evenVBand="0" w:oddHBand="1" w:evenHBand="0" w:firstRowFirstColumn="0" w:firstRowLastColumn="0" w:lastRowFirstColumn="0" w:lastRowLastColumn="0"/>
            </w:pPr>
            <w:r>
              <w:t>0.8552</w:t>
            </w:r>
          </w:p>
        </w:tc>
        <w:tc>
          <w:tcPr>
            <w:tcW w:w="1036" w:type="dxa"/>
          </w:tcPr>
          <w:p w14:paraId="33D0C8E1" w14:textId="1B6ACA9A" w:rsidR="000724D6" w:rsidRDefault="00504534" w:rsidP="000543FF">
            <w:pPr>
              <w:pStyle w:val="BodyText"/>
              <w:ind w:firstLine="0"/>
              <w:cnfStyle w:val="000000100000" w:firstRow="0" w:lastRow="0" w:firstColumn="0" w:lastColumn="0" w:oddVBand="0" w:evenVBand="0" w:oddHBand="1" w:evenHBand="0" w:firstRowFirstColumn="0" w:firstRowLastColumn="0" w:lastRowFirstColumn="0" w:lastRowLastColumn="0"/>
            </w:pPr>
            <w:r>
              <w:t>0.9094</w:t>
            </w:r>
          </w:p>
        </w:tc>
      </w:tr>
      <w:tr w:rsidR="000724D6" w14:paraId="041A1211" w14:textId="77777777" w:rsidTr="00504534">
        <w:tc>
          <w:tcPr>
            <w:cnfStyle w:val="001000000000" w:firstRow="0" w:lastRow="0" w:firstColumn="1" w:lastColumn="0" w:oddVBand="0" w:evenVBand="0" w:oddHBand="0" w:evenHBand="0" w:firstRowFirstColumn="0" w:firstRowLastColumn="0" w:lastRowFirstColumn="0" w:lastRowLastColumn="0"/>
            <w:tcW w:w="517" w:type="dxa"/>
          </w:tcPr>
          <w:p w14:paraId="51ECF199" w14:textId="5FF4236B" w:rsidR="000724D6" w:rsidRDefault="000724D6" w:rsidP="00ED361E">
            <w:pPr>
              <w:pStyle w:val="BodyText"/>
              <w:ind w:firstLine="0"/>
            </w:pPr>
            <w:r>
              <w:t>6</w:t>
            </w:r>
          </w:p>
        </w:tc>
        <w:tc>
          <w:tcPr>
            <w:tcW w:w="558" w:type="dxa"/>
          </w:tcPr>
          <w:p w14:paraId="09FD59D2" w14:textId="41852024" w:rsidR="000724D6"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pPr>
            <w:r>
              <w:t>0.3</w:t>
            </w:r>
          </w:p>
        </w:tc>
        <w:tc>
          <w:tcPr>
            <w:tcW w:w="810" w:type="dxa"/>
          </w:tcPr>
          <w:p w14:paraId="576B7B98" w14:textId="4E91BA37" w:rsidR="000724D6"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pPr>
            <w:r>
              <w:t>mean</w:t>
            </w:r>
          </w:p>
        </w:tc>
        <w:tc>
          <w:tcPr>
            <w:tcW w:w="630" w:type="dxa"/>
          </w:tcPr>
          <w:p w14:paraId="517159CC" w14:textId="7D55C9FF" w:rsidR="000724D6" w:rsidRDefault="000543FF" w:rsidP="00ED361E">
            <w:pPr>
              <w:pStyle w:val="BodyText"/>
              <w:ind w:firstLine="0"/>
              <w:cnfStyle w:val="000000000000" w:firstRow="0" w:lastRow="0" w:firstColumn="0" w:lastColumn="0" w:oddVBand="0" w:evenVBand="0" w:oddHBand="0" w:evenHBand="0" w:firstRowFirstColumn="0" w:firstRowLastColumn="0" w:lastRowFirstColumn="0" w:lastRowLastColumn="0"/>
            </w:pPr>
            <w:r>
              <w:t>0.</w:t>
            </w:r>
            <w:r w:rsidR="00504534">
              <w:t>30</w:t>
            </w:r>
          </w:p>
        </w:tc>
        <w:tc>
          <w:tcPr>
            <w:tcW w:w="1305" w:type="dxa"/>
          </w:tcPr>
          <w:p w14:paraId="048ED050" w14:textId="52EE529D" w:rsidR="000724D6" w:rsidRDefault="00504534" w:rsidP="00ED361E">
            <w:pPr>
              <w:pStyle w:val="BodyText"/>
              <w:ind w:firstLine="0"/>
              <w:cnfStyle w:val="000000000000" w:firstRow="0" w:lastRow="0" w:firstColumn="0" w:lastColumn="0" w:oddVBand="0" w:evenVBand="0" w:oddHBand="0" w:evenHBand="0" w:firstRowFirstColumn="0" w:firstRowLastColumn="0" w:lastRowFirstColumn="0" w:lastRowLastColumn="0"/>
            </w:pPr>
            <w:r>
              <w:t>0.8552</w:t>
            </w:r>
          </w:p>
        </w:tc>
        <w:tc>
          <w:tcPr>
            <w:tcW w:w="1036" w:type="dxa"/>
          </w:tcPr>
          <w:p w14:paraId="510D3E41" w14:textId="208DF7C7" w:rsidR="000724D6" w:rsidRDefault="00504534" w:rsidP="000543FF">
            <w:pPr>
              <w:pStyle w:val="BodyText"/>
              <w:ind w:firstLine="0"/>
              <w:cnfStyle w:val="000000000000" w:firstRow="0" w:lastRow="0" w:firstColumn="0" w:lastColumn="0" w:oddVBand="0" w:evenVBand="0" w:oddHBand="0" w:evenHBand="0" w:firstRowFirstColumn="0" w:firstRowLastColumn="0" w:lastRowFirstColumn="0" w:lastRowLastColumn="0"/>
            </w:pPr>
            <w:r>
              <w:t>0.9094</w:t>
            </w:r>
          </w:p>
        </w:tc>
      </w:tr>
      <w:tr w:rsidR="000724D6" w14:paraId="4834E1CF" w14:textId="77777777" w:rsidTr="005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187088F5" w14:textId="33FFA45A" w:rsidR="000724D6" w:rsidRDefault="000724D6" w:rsidP="00ED361E">
            <w:pPr>
              <w:pStyle w:val="BodyText"/>
              <w:ind w:firstLine="0"/>
            </w:pPr>
            <w:r>
              <w:t>7</w:t>
            </w:r>
          </w:p>
        </w:tc>
        <w:tc>
          <w:tcPr>
            <w:tcW w:w="558" w:type="dxa"/>
          </w:tcPr>
          <w:p w14:paraId="3042D135" w14:textId="7464FD86"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0.3</w:t>
            </w:r>
          </w:p>
        </w:tc>
        <w:tc>
          <w:tcPr>
            <w:tcW w:w="810" w:type="dxa"/>
          </w:tcPr>
          <w:p w14:paraId="0E60B80F" w14:textId="6419B337"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mean</w:t>
            </w:r>
          </w:p>
        </w:tc>
        <w:tc>
          <w:tcPr>
            <w:tcW w:w="630" w:type="dxa"/>
          </w:tcPr>
          <w:p w14:paraId="2F81D275" w14:textId="2AC90273" w:rsidR="000724D6" w:rsidRDefault="000724D6" w:rsidP="00ED361E">
            <w:pPr>
              <w:pStyle w:val="BodyText"/>
              <w:ind w:firstLine="0"/>
              <w:cnfStyle w:val="000000100000" w:firstRow="0" w:lastRow="0" w:firstColumn="0" w:lastColumn="0" w:oddVBand="0" w:evenVBand="0" w:oddHBand="1" w:evenHBand="0" w:firstRowFirstColumn="0" w:firstRowLastColumn="0" w:lastRowFirstColumn="0" w:lastRowLastColumn="0"/>
            </w:pPr>
            <w:r>
              <w:t>0</w:t>
            </w:r>
            <w:r w:rsidR="000543FF">
              <w:t>.</w:t>
            </w:r>
            <w:r w:rsidR="00504534">
              <w:t>05</w:t>
            </w:r>
          </w:p>
        </w:tc>
        <w:tc>
          <w:tcPr>
            <w:tcW w:w="1305" w:type="dxa"/>
          </w:tcPr>
          <w:p w14:paraId="22739AC6" w14:textId="080BFC02" w:rsidR="000724D6" w:rsidRDefault="00504534" w:rsidP="00ED361E">
            <w:pPr>
              <w:pStyle w:val="BodyText"/>
              <w:ind w:firstLine="0"/>
              <w:cnfStyle w:val="000000100000" w:firstRow="0" w:lastRow="0" w:firstColumn="0" w:lastColumn="0" w:oddVBand="0" w:evenVBand="0" w:oddHBand="1" w:evenHBand="0" w:firstRowFirstColumn="0" w:firstRowLastColumn="0" w:lastRowFirstColumn="0" w:lastRowLastColumn="0"/>
            </w:pPr>
            <w:r>
              <w:t>0.8552</w:t>
            </w:r>
          </w:p>
        </w:tc>
        <w:tc>
          <w:tcPr>
            <w:tcW w:w="1036" w:type="dxa"/>
          </w:tcPr>
          <w:p w14:paraId="130BD69C" w14:textId="3B428D83" w:rsidR="000724D6" w:rsidRDefault="00504534" w:rsidP="000543FF">
            <w:pPr>
              <w:pStyle w:val="BodyText"/>
              <w:ind w:firstLine="0"/>
              <w:cnfStyle w:val="000000100000" w:firstRow="0" w:lastRow="0" w:firstColumn="0" w:lastColumn="0" w:oddVBand="0" w:evenVBand="0" w:oddHBand="1" w:evenHBand="0" w:firstRowFirstColumn="0" w:firstRowLastColumn="0" w:lastRowFirstColumn="0" w:lastRowLastColumn="0"/>
            </w:pPr>
            <w:r>
              <w:t>0.9090</w:t>
            </w:r>
          </w:p>
        </w:tc>
      </w:tr>
      <w:tr w:rsidR="000724D6" w14:paraId="33FA5635" w14:textId="77777777" w:rsidTr="00504534">
        <w:tc>
          <w:tcPr>
            <w:cnfStyle w:val="001000000000" w:firstRow="0" w:lastRow="0" w:firstColumn="1" w:lastColumn="0" w:oddVBand="0" w:evenVBand="0" w:oddHBand="0" w:evenHBand="0" w:firstRowFirstColumn="0" w:firstRowLastColumn="0" w:lastRowFirstColumn="0" w:lastRowLastColumn="0"/>
            <w:tcW w:w="517" w:type="dxa"/>
          </w:tcPr>
          <w:p w14:paraId="75A09A11" w14:textId="7150DA6C" w:rsidR="000724D6" w:rsidRDefault="000724D6" w:rsidP="00ED361E">
            <w:pPr>
              <w:pStyle w:val="BodyText"/>
              <w:ind w:firstLine="0"/>
            </w:pPr>
            <w:r>
              <w:t>8</w:t>
            </w:r>
          </w:p>
        </w:tc>
        <w:tc>
          <w:tcPr>
            <w:tcW w:w="558" w:type="dxa"/>
          </w:tcPr>
          <w:p w14:paraId="2D437098" w14:textId="56A05053" w:rsidR="000724D6"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pPr>
            <w:r>
              <w:t>0.1</w:t>
            </w:r>
          </w:p>
        </w:tc>
        <w:tc>
          <w:tcPr>
            <w:tcW w:w="810" w:type="dxa"/>
          </w:tcPr>
          <w:p w14:paraId="0F4338C9" w14:textId="43AA27F3" w:rsidR="000724D6"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pPr>
            <w:r>
              <w:t>max</w:t>
            </w:r>
          </w:p>
        </w:tc>
        <w:tc>
          <w:tcPr>
            <w:tcW w:w="630" w:type="dxa"/>
          </w:tcPr>
          <w:p w14:paraId="20E62806" w14:textId="4A1A169C" w:rsidR="000724D6" w:rsidRDefault="000724D6" w:rsidP="00ED361E">
            <w:pPr>
              <w:pStyle w:val="BodyText"/>
              <w:ind w:firstLine="0"/>
              <w:cnfStyle w:val="000000000000" w:firstRow="0" w:lastRow="0" w:firstColumn="0" w:lastColumn="0" w:oddVBand="0" w:evenVBand="0" w:oddHBand="0" w:evenHBand="0" w:firstRowFirstColumn="0" w:firstRowLastColumn="0" w:lastRowFirstColumn="0" w:lastRowLastColumn="0"/>
            </w:pPr>
            <w:r>
              <w:t>0.</w:t>
            </w:r>
            <w:r w:rsidR="00504534">
              <w:t>15</w:t>
            </w:r>
          </w:p>
        </w:tc>
        <w:tc>
          <w:tcPr>
            <w:tcW w:w="1305" w:type="dxa"/>
          </w:tcPr>
          <w:p w14:paraId="389A4014" w14:textId="29DD383C" w:rsidR="000724D6" w:rsidRDefault="00504534" w:rsidP="00ED361E">
            <w:pPr>
              <w:pStyle w:val="BodyText"/>
              <w:ind w:firstLine="0"/>
              <w:cnfStyle w:val="000000000000" w:firstRow="0" w:lastRow="0" w:firstColumn="0" w:lastColumn="0" w:oddVBand="0" w:evenVBand="0" w:oddHBand="0" w:evenHBand="0" w:firstRowFirstColumn="0" w:firstRowLastColumn="0" w:lastRowFirstColumn="0" w:lastRowLastColumn="0"/>
            </w:pPr>
            <w:r>
              <w:t>0.5335</w:t>
            </w:r>
          </w:p>
        </w:tc>
        <w:tc>
          <w:tcPr>
            <w:tcW w:w="1036" w:type="dxa"/>
          </w:tcPr>
          <w:p w14:paraId="59B5F163" w14:textId="683D9E1D" w:rsidR="000724D6" w:rsidRDefault="00504534" w:rsidP="000543FF">
            <w:pPr>
              <w:pStyle w:val="BodyText"/>
              <w:ind w:firstLine="0"/>
              <w:cnfStyle w:val="000000000000" w:firstRow="0" w:lastRow="0" w:firstColumn="0" w:lastColumn="0" w:oddVBand="0" w:evenVBand="0" w:oddHBand="0" w:evenHBand="0" w:firstRowFirstColumn="0" w:firstRowLastColumn="0" w:lastRowFirstColumn="0" w:lastRowLastColumn="0"/>
            </w:pPr>
            <w:r>
              <w:t>0.5510</w:t>
            </w:r>
          </w:p>
        </w:tc>
      </w:tr>
      <w:tr w:rsidR="000724D6" w14:paraId="6F93C17C" w14:textId="77777777" w:rsidTr="005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20F3BFDA" w14:textId="45D8573F" w:rsidR="000724D6" w:rsidRDefault="000724D6" w:rsidP="00ED361E">
            <w:pPr>
              <w:pStyle w:val="BodyText"/>
              <w:ind w:firstLine="0"/>
            </w:pPr>
            <w:r>
              <w:t>9</w:t>
            </w:r>
          </w:p>
        </w:tc>
        <w:tc>
          <w:tcPr>
            <w:tcW w:w="558" w:type="dxa"/>
          </w:tcPr>
          <w:p w14:paraId="4213C92A" w14:textId="07F531A8"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0.3</w:t>
            </w:r>
          </w:p>
        </w:tc>
        <w:tc>
          <w:tcPr>
            <w:tcW w:w="810" w:type="dxa"/>
          </w:tcPr>
          <w:p w14:paraId="0C19283A" w14:textId="048E3A69" w:rsidR="000724D6"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max</w:t>
            </w:r>
          </w:p>
        </w:tc>
        <w:tc>
          <w:tcPr>
            <w:tcW w:w="630" w:type="dxa"/>
          </w:tcPr>
          <w:p w14:paraId="3C28F5FD" w14:textId="7D48288D" w:rsidR="000724D6" w:rsidRDefault="000724D6" w:rsidP="00ED361E">
            <w:pPr>
              <w:pStyle w:val="BodyText"/>
              <w:ind w:firstLine="0"/>
              <w:cnfStyle w:val="000000100000" w:firstRow="0" w:lastRow="0" w:firstColumn="0" w:lastColumn="0" w:oddVBand="0" w:evenVBand="0" w:oddHBand="1" w:evenHBand="0" w:firstRowFirstColumn="0" w:firstRowLastColumn="0" w:lastRowFirstColumn="0" w:lastRowLastColumn="0"/>
            </w:pPr>
            <w:r>
              <w:t>0.</w:t>
            </w:r>
            <w:r w:rsidR="00504534">
              <w:t>05</w:t>
            </w:r>
          </w:p>
        </w:tc>
        <w:tc>
          <w:tcPr>
            <w:tcW w:w="1305" w:type="dxa"/>
          </w:tcPr>
          <w:p w14:paraId="0A71B83D" w14:textId="5E551F29" w:rsidR="000724D6" w:rsidRDefault="00504534" w:rsidP="00ED361E">
            <w:pPr>
              <w:pStyle w:val="BodyText"/>
              <w:ind w:firstLine="0"/>
              <w:cnfStyle w:val="000000100000" w:firstRow="0" w:lastRow="0" w:firstColumn="0" w:lastColumn="0" w:oddVBand="0" w:evenVBand="0" w:oddHBand="1" w:evenHBand="0" w:firstRowFirstColumn="0" w:firstRowLastColumn="0" w:lastRowFirstColumn="0" w:lastRowLastColumn="0"/>
            </w:pPr>
            <w:r>
              <w:t>0.5202</w:t>
            </w:r>
          </w:p>
        </w:tc>
        <w:tc>
          <w:tcPr>
            <w:tcW w:w="1036" w:type="dxa"/>
          </w:tcPr>
          <w:p w14:paraId="22BAB3E3" w14:textId="5D42737D" w:rsidR="000724D6" w:rsidRDefault="00504534" w:rsidP="000543FF">
            <w:pPr>
              <w:pStyle w:val="BodyText"/>
              <w:ind w:firstLine="0"/>
              <w:cnfStyle w:val="000000100000" w:firstRow="0" w:lastRow="0" w:firstColumn="0" w:lastColumn="0" w:oddVBand="0" w:evenVBand="0" w:oddHBand="1" w:evenHBand="0" w:firstRowFirstColumn="0" w:firstRowLastColumn="0" w:lastRowFirstColumn="0" w:lastRowLastColumn="0"/>
            </w:pPr>
            <w:r>
              <w:t>0.5303</w:t>
            </w:r>
          </w:p>
        </w:tc>
      </w:tr>
      <w:tr w:rsidR="000724D6" w14:paraId="3D1168F4" w14:textId="77777777" w:rsidTr="00504534">
        <w:tc>
          <w:tcPr>
            <w:cnfStyle w:val="001000000000" w:firstRow="0" w:lastRow="0" w:firstColumn="1" w:lastColumn="0" w:oddVBand="0" w:evenVBand="0" w:oddHBand="0" w:evenHBand="0" w:firstRowFirstColumn="0" w:firstRowLastColumn="0" w:lastRowFirstColumn="0" w:lastRowLastColumn="0"/>
            <w:tcW w:w="517" w:type="dxa"/>
          </w:tcPr>
          <w:p w14:paraId="1030B71F" w14:textId="39D35C8D" w:rsidR="000724D6" w:rsidRDefault="000724D6" w:rsidP="00ED361E">
            <w:pPr>
              <w:pStyle w:val="BodyText"/>
              <w:ind w:firstLine="0"/>
            </w:pPr>
            <w:r>
              <w:t>10</w:t>
            </w:r>
          </w:p>
        </w:tc>
        <w:tc>
          <w:tcPr>
            <w:tcW w:w="558" w:type="dxa"/>
          </w:tcPr>
          <w:p w14:paraId="37EDD084" w14:textId="53A9CE09" w:rsidR="000724D6"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pPr>
            <w:r>
              <w:t>0.1</w:t>
            </w:r>
          </w:p>
        </w:tc>
        <w:tc>
          <w:tcPr>
            <w:tcW w:w="810" w:type="dxa"/>
          </w:tcPr>
          <w:p w14:paraId="396530E5" w14:textId="62D64503" w:rsidR="000724D6" w:rsidRPr="002C16CB" w:rsidRDefault="00B472ED" w:rsidP="00ED361E">
            <w:pPr>
              <w:pStyle w:val="BodyText"/>
              <w:ind w:firstLine="0"/>
              <w:cnfStyle w:val="000000000000" w:firstRow="0" w:lastRow="0" w:firstColumn="0" w:lastColumn="0" w:oddVBand="0" w:evenVBand="0" w:oddHBand="0" w:evenHBand="0" w:firstRowFirstColumn="0" w:firstRowLastColumn="0" w:lastRowFirstColumn="0" w:lastRowLastColumn="0"/>
              <w:rPr>
                <w:sz w:val="16"/>
                <w:szCs w:val="16"/>
              </w:rPr>
            </w:pPr>
            <w:r>
              <w:t>max</w:t>
            </w:r>
          </w:p>
        </w:tc>
        <w:tc>
          <w:tcPr>
            <w:tcW w:w="630" w:type="dxa"/>
          </w:tcPr>
          <w:p w14:paraId="7A118BF7" w14:textId="0196E90D" w:rsidR="000724D6" w:rsidRDefault="000543FF" w:rsidP="00ED361E">
            <w:pPr>
              <w:pStyle w:val="BodyText"/>
              <w:ind w:firstLine="0"/>
              <w:cnfStyle w:val="000000000000" w:firstRow="0" w:lastRow="0" w:firstColumn="0" w:lastColumn="0" w:oddVBand="0" w:evenVBand="0" w:oddHBand="0" w:evenHBand="0" w:firstRowFirstColumn="0" w:firstRowLastColumn="0" w:lastRowFirstColumn="0" w:lastRowLastColumn="0"/>
            </w:pPr>
            <w:r>
              <w:t>0.</w:t>
            </w:r>
            <w:r w:rsidR="00504534">
              <w:t>05</w:t>
            </w:r>
          </w:p>
        </w:tc>
        <w:tc>
          <w:tcPr>
            <w:tcW w:w="1305" w:type="dxa"/>
          </w:tcPr>
          <w:p w14:paraId="0E338D93" w14:textId="38ED4763" w:rsidR="000724D6" w:rsidRDefault="00504534" w:rsidP="00ED361E">
            <w:pPr>
              <w:pStyle w:val="BodyText"/>
              <w:ind w:firstLine="0"/>
              <w:cnfStyle w:val="000000000000" w:firstRow="0" w:lastRow="0" w:firstColumn="0" w:lastColumn="0" w:oddVBand="0" w:evenVBand="0" w:oddHBand="0" w:evenHBand="0" w:firstRowFirstColumn="0" w:firstRowLastColumn="0" w:lastRowFirstColumn="0" w:lastRowLastColumn="0"/>
            </w:pPr>
            <w:r>
              <w:t>0.5191</w:t>
            </w:r>
          </w:p>
        </w:tc>
        <w:tc>
          <w:tcPr>
            <w:tcW w:w="1036" w:type="dxa"/>
          </w:tcPr>
          <w:p w14:paraId="0A5369E0" w14:textId="0B470818" w:rsidR="000724D6" w:rsidRDefault="00504534" w:rsidP="000543FF">
            <w:pPr>
              <w:pStyle w:val="BodyText"/>
              <w:ind w:firstLine="0"/>
              <w:cnfStyle w:val="000000000000" w:firstRow="0" w:lastRow="0" w:firstColumn="0" w:lastColumn="0" w:oddVBand="0" w:evenVBand="0" w:oddHBand="0" w:evenHBand="0" w:firstRowFirstColumn="0" w:firstRowLastColumn="0" w:lastRowFirstColumn="0" w:lastRowLastColumn="0"/>
            </w:pPr>
            <w:r>
              <w:t>0.5299</w:t>
            </w:r>
          </w:p>
        </w:tc>
      </w:tr>
      <w:tr w:rsidR="00B472ED" w14:paraId="6D5D4A90" w14:textId="77777777" w:rsidTr="0050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58076103" w14:textId="07EEECBA" w:rsidR="00B472ED" w:rsidRDefault="00B472ED" w:rsidP="00ED361E">
            <w:pPr>
              <w:pStyle w:val="BodyText"/>
              <w:ind w:firstLine="0"/>
            </w:pPr>
            <w:r>
              <w:t>11</w:t>
            </w:r>
          </w:p>
        </w:tc>
        <w:tc>
          <w:tcPr>
            <w:tcW w:w="558" w:type="dxa"/>
          </w:tcPr>
          <w:p w14:paraId="2E219B2A" w14:textId="57398F74" w:rsidR="00B472ED"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0.1</w:t>
            </w:r>
          </w:p>
        </w:tc>
        <w:tc>
          <w:tcPr>
            <w:tcW w:w="810" w:type="dxa"/>
          </w:tcPr>
          <w:p w14:paraId="5A4A6363" w14:textId="3041EA67" w:rsidR="00B472ED" w:rsidRDefault="00B472ED" w:rsidP="00ED361E">
            <w:pPr>
              <w:pStyle w:val="BodyText"/>
              <w:ind w:firstLine="0"/>
              <w:cnfStyle w:val="000000100000" w:firstRow="0" w:lastRow="0" w:firstColumn="0" w:lastColumn="0" w:oddVBand="0" w:evenVBand="0" w:oddHBand="1" w:evenHBand="0" w:firstRowFirstColumn="0" w:firstRowLastColumn="0" w:lastRowFirstColumn="0" w:lastRowLastColumn="0"/>
            </w:pPr>
            <w:r>
              <w:t>max</w:t>
            </w:r>
          </w:p>
        </w:tc>
        <w:tc>
          <w:tcPr>
            <w:tcW w:w="630" w:type="dxa"/>
          </w:tcPr>
          <w:p w14:paraId="72D3B197" w14:textId="776A9240" w:rsidR="00B472ED" w:rsidRDefault="00504534" w:rsidP="00ED361E">
            <w:pPr>
              <w:pStyle w:val="BodyText"/>
              <w:ind w:firstLine="0"/>
              <w:cnfStyle w:val="000000100000" w:firstRow="0" w:lastRow="0" w:firstColumn="0" w:lastColumn="0" w:oddVBand="0" w:evenVBand="0" w:oddHBand="1" w:evenHBand="0" w:firstRowFirstColumn="0" w:firstRowLastColumn="0" w:lastRowFirstColumn="0" w:lastRowLastColumn="0"/>
            </w:pPr>
            <w:r>
              <w:t>0.30</w:t>
            </w:r>
          </w:p>
        </w:tc>
        <w:tc>
          <w:tcPr>
            <w:tcW w:w="1305" w:type="dxa"/>
          </w:tcPr>
          <w:p w14:paraId="3E50EBE3" w14:textId="32459A85" w:rsidR="00B472ED" w:rsidRDefault="00504534" w:rsidP="00ED361E">
            <w:pPr>
              <w:pStyle w:val="BodyText"/>
              <w:ind w:firstLine="0"/>
              <w:cnfStyle w:val="000000100000" w:firstRow="0" w:lastRow="0" w:firstColumn="0" w:lastColumn="0" w:oddVBand="0" w:evenVBand="0" w:oddHBand="1" w:evenHBand="0" w:firstRowFirstColumn="0" w:firstRowLastColumn="0" w:lastRowFirstColumn="0" w:lastRowLastColumn="0"/>
            </w:pPr>
            <w:r>
              <w:t>0.4979</w:t>
            </w:r>
          </w:p>
        </w:tc>
        <w:tc>
          <w:tcPr>
            <w:tcW w:w="1036" w:type="dxa"/>
          </w:tcPr>
          <w:p w14:paraId="41762B06" w14:textId="00C0CEAF" w:rsidR="00B472ED" w:rsidRDefault="00504534" w:rsidP="000543FF">
            <w:pPr>
              <w:pStyle w:val="BodyText"/>
              <w:ind w:firstLine="0"/>
              <w:cnfStyle w:val="000000100000" w:firstRow="0" w:lastRow="0" w:firstColumn="0" w:lastColumn="0" w:oddVBand="0" w:evenVBand="0" w:oddHBand="1" w:evenHBand="0" w:firstRowFirstColumn="0" w:firstRowLastColumn="0" w:lastRowFirstColumn="0" w:lastRowLastColumn="0"/>
            </w:pPr>
            <w:r>
              <w:t>0.5192</w:t>
            </w:r>
          </w:p>
        </w:tc>
      </w:tr>
    </w:tbl>
    <w:p w14:paraId="22037FDC" w14:textId="2337F2AB" w:rsidR="00ED361E" w:rsidRDefault="002C16CB" w:rsidP="002C16CB">
      <w:pPr>
        <w:pStyle w:val="figurecaption"/>
      </w:pPr>
      <w:r>
        <w:t xml:space="preserve">Results of Hyperparameter </w:t>
      </w:r>
      <w:r w:rsidR="00F15B32">
        <w:t>Fine</w:t>
      </w:r>
      <w:r w:rsidR="00C851E6">
        <w:t>-T</w:t>
      </w:r>
      <w:r w:rsidR="00F15B32">
        <w:t xml:space="preserve">uning using </w:t>
      </w:r>
      <w:r w:rsidR="0081725C">
        <w:t>Grid</w:t>
      </w:r>
      <w:r w:rsidR="00F15B32">
        <w:t xml:space="preserve"> </w:t>
      </w:r>
      <w:r w:rsidR="0081725C">
        <w:t>Search</w:t>
      </w:r>
      <w:r>
        <w:t>.</w:t>
      </w:r>
    </w:p>
    <w:p w14:paraId="18F0269C" w14:textId="45C1D510" w:rsidR="00F15B32" w:rsidRPr="000931F9" w:rsidRDefault="00690DC5" w:rsidP="000931F9">
      <w:pPr>
        <w:pStyle w:val="BodyText"/>
      </w:pPr>
      <w:r w:rsidRPr="00690DC5">
        <w:t>The experimental results across the eleven configurations demonstrate a clear impact of the Pooling method on model performance, while variations in DO (Dropout) and WR (</w:t>
      </w:r>
      <w:r w:rsidR="00D621B5">
        <w:t>Warmup Ratio</w:t>
      </w:r>
      <w:r w:rsidRPr="00690DC5">
        <w:t xml:space="preserve">) had a minimal effect. Experiments 1 through 7, which utilized mean pooling, consistently achieved the highest correlation scores, with the Pearson correlation ranging from 0.9090 to 0.9110 and the Spearman correlation from 0.8552 to 0.8554. Within these mean pooling experiments, the best performance was seen in Exp 1 (Pearson=0.9110, Spearman=0.8554), characterized by DO=0.1 and WR=0.05. In contrast, configurations 8 through 11, which employed max pooling, resulted in significantly lower correlation scores, with Pearson values clustered around 0.50 to 0.55 and Spearman values around 0.50 to 0.53. This substantial drop indicates that mean pooling is overwhelmingly superior to max pooling for this specific task, with the impact of the pooling strategy dwarfing any minor adjustments made to the dropout or </w:t>
      </w:r>
      <w:r w:rsidR="00A067EE">
        <w:t>warmup ratio</w:t>
      </w:r>
      <w:r w:rsidRPr="00690DC5">
        <w:t xml:space="preserve"> hyper-parameters.</w:t>
      </w:r>
    </w:p>
    <w:p w14:paraId="156C293B" w14:textId="3EF004AD" w:rsidR="006451B2" w:rsidRDefault="006451B2" w:rsidP="006451B2">
      <w:pPr>
        <w:pStyle w:val="Heading1"/>
      </w:pPr>
      <w:r>
        <w:t>Discussion</w:t>
      </w:r>
    </w:p>
    <w:p w14:paraId="4DEB41FA" w14:textId="0E030636" w:rsidR="000B0961" w:rsidRDefault="00C851E6" w:rsidP="000B0961">
      <w:pPr>
        <w:pStyle w:val="Heading2"/>
      </w:pPr>
      <w:r>
        <w:t>Hyperparameter Impact</w:t>
      </w:r>
    </w:p>
    <w:p w14:paraId="1E5EE4B9" w14:textId="34F6CAD7" w:rsidR="001A55FC" w:rsidRPr="001A55FC" w:rsidRDefault="001A55FC" w:rsidP="001A55FC">
      <w:pPr>
        <w:pStyle w:val="BodyText"/>
        <w:rPr>
          <w:i/>
          <w:iCs/>
          <w:noProof/>
          <w:spacing w:val="0"/>
          <w:lang w:val="en-US" w:eastAsia="en-US"/>
        </w:rPr>
      </w:pPr>
      <w:r w:rsidRPr="001A55FC">
        <w:rPr>
          <w:rFonts w:hint="eastAsia"/>
        </w:rPr>
        <w:t xml:space="preserve">The most salient finding from the experiments is the overwhelming influence of the Pooling strategy on model performance. The configurations using mean pooling achieved high correlation scores (Pearson </w:t>
      </w:r>
      <w:r w:rsidRPr="001A55FC">
        <w:rPr>
          <w:rFonts w:hint="eastAsia"/>
        </w:rPr>
        <w:t>≈</w:t>
      </w:r>
      <w:r w:rsidRPr="001A55FC">
        <w:rPr>
          <w:rFonts w:hint="eastAsia"/>
        </w:rPr>
        <w:t xml:space="preserve">0.91, Spearman </w:t>
      </w:r>
      <w:r w:rsidRPr="001A55FC">
        <w:rPr>
          <w:rFonts w:hint="eastAsia"/>
        </w:rPr>
        <w:t>≈</w:t>
      </w:r>
      <w:r w:rsidRPr="001A55FC">
        <w:rPr>
          <w:rFonts w:hint="eastAsia"/>
        </w:rPr>
        <w:t xml:space="preserve">0.86), demonstrating strong predictive capability. Conversely, configurations utilizing max pooling performed significantly worse (Pearson </w:t>
      </w:r>
      <w:r w:rsidRPr="001A55FC">
        <w:rPr>
          <w:rFonts w:hint="eastAsia"/>
        </w:rPr>
        <w:t>≈</w:t>
      </w:r>
      <w:r w:rsidRPr="001A55FC">
        <w:rPr>
          <w:rFonts w:hint="eastAsia"/>
        </w:rPr>
        <w:t xml:space="preserve">0.53, Spearman </w:t>
      </w:r>
      <w:r w:rsidRPr="001A55FC">
        <w:rPr>
          <w:rFonts w:hint="eastAsia"/>
        </w:rPr>
        <w:t>≈</w:t>
      </w:r>
      <w:r w:rsidRPr="001A55FC">
        <w:rPr>
          <w:rFonts w:hint="eastAsia"/>
        </w:rPr>
        <w:t>0.51). This suggests that for this specific task, which likely involves aggregating soft evidence or distributed information across featu</w:t>
      </w:r>
      <w:r w:rsidRPr="001A55FC">
        <w:t xml:space="preserve">res, the average representation is far more informative than the most dominant feature (maximum). In stark contrast, variations in Dropout (DO) and </w:t>
      </w:r>
      <w:r w:rsidR="00101620">
        <w:t>Warmup Ratio</w:t>
      </w:r>
      <w:r w:rsidRPr="001A55FC">
        <w:t xml:space="preserve">(WR) had a negligible effect on the final correlation metrics. Across the optimal mean pooling models, changes in DO (from 0.1 to 0.3) and WR (from 0.05 to 0.30) resulted in changes to the Pearson and Spearman correlations only in the third or fourth decimal place. This insensitivity suggests the model architecture is robust to typical regularization noise, or that the </w:t>
      </w:r>
      <w:r w:rsidRPr="001A55FC">
        <w:lastRenderedPageBreak/>
        <w:t>tested range of these parameters was already in a stable zone for the model's complexity.</w:t>
      </w:r>
    </w:p>
    <w:p w14:paraId="08E89007" w14:textId="77777777" w:rsidR="001A55FC" w:rsidRDefault="001A55FC" w:rsidP="001A55FC">
      <w:pPr>
        <w:pStyle w:val="Heading2"/>
      </w:pPr>
      <w:r>
        <w:t>Manual Hyperparameter Fine-Tuning vs. Grid Search Optimization</w:t>
      </w:r>
    </w:p>
    <w:p w14:paraId="718B8408" w14:textId="77777777" w:rsidR="001A55FC" w:rsidRPr="001A55FC" w:rsidRDefault="001A55FC" w:rsidP="001A55FC">
      <w:pPr>
        <w:pStyle w:val="BodyText"/>
        <w:rPr>
          <w:i/>
          <w:iCs/>
          <w:noProof/>
          <w:spacing w:val="0"/>
          <w:lang w:val="en-US" w:eastAsia="en-US"/>
        </w:rPr>
      </w:pPr>
      <w:r w:rsidRPr="001A55FC">
        <w:t>The systematic variation of hyperparameters in this study mimics a grid search approach, which was effective in identifying the critical influence of the pooling strategy. However, the lack of significant performance difference between configurations 1 through 7, despite substantial changes in DO and WR, suggests that a full, exhaustive grid search across these dimensions may have been computationally inefficient. If a manual search or an intelligent optimization algorithm (like Bayesian optimization) had been employed, initial experiments would quickly have isolated mean pooling as the critical hyperparameter. Subsequent optimization effort could have been focused on a finer-grained search of the less impactful DO and WR parameters, or on other architectural elements not explored here, potentially leading to more efficient resource utilization without sacrificing the identification of the optimal configuration.</w:t>
      </w:r>
    </w:p>
    <w:p w14:paraId="75458E02" w14:textId="6007668D" w:rsidR="0093787A" w:rsidRDefault="001A55FC" w:rsidP="0093787A">
      <w:pPr>
        <w:pStyle w:val="Heading2"/>
      </w:pPr>
      <w:r>
        <w:t>Drawbacks and Limitations</w:t>
      </w:r>
    </w:p>
    <w:p w14:paraId="4EA53CE8" w14:textId="371A024E" w:rsidR="009C60D7" w:rsidRPr="009C60D7" w:rsidRDefault="001A55FC" w:rsidP="003A5E82">
      <w:pPr>
        <w:pStyle w:val="BodyText"/>
        <w:rPr>
          <w:smallCaps/>
          <w:noProof/>
          <w:spacing w:val="0"/>
          <w:lang w:val="en-US" w:eastAsia="en-US"/>
        </w:rPr>
      </w:pPr>
      <w:r w:rsidRPr="001A55FC">
        <w:t xml:space="preserve">A primary limitation of this study is the constrained scope of the hyperparameter search. While Dropout, </w:t>
      </w:r>
      <w:r w:rsidR="00D1100A">
        <w:t>Warmup Ratio</w:t>
      </w:r>
      <w:r w:rsidRPr="001A55FC">
        <w:t xml:space="preserve">, and Pooling were explored, other critical architectural choices such as the number of layers, layer size, activation functions, or different optimizers were held constant. It is possible that a combination of a different optimizer and a non-optimal pooling method could still have led to a high-performing model, or that even higher correlations could be achieved by tuning these unseen parameters. Furthermore, the correlation values reported are based solely on the mean or maximum aggregation of features; the use of more complex attention </w:t>
      </w:r>
      <w:r w:rsidRPr="001A55FC">
        <w:t>mechanisms for feature weighting was not explored. Future work should adopt a more expansive search space to fully validate the generalization capabilities and robustness of the model architecture across various settings.</w:t>
      </w:r>
    </w:p>
    <w:p w14:paraId="23A670A1" w14:textId="6405D40F" w:rsidR="006451B2" w:rsidRDefault="006451B2" w:rsidP="006451B2">
      <w:pPr>
        <w:pStyle w:val="Heading1"/>
      </w:pPr>
      <w:r>
        <w:t>Conclusion</w:t>
      </w:r>
    </w:p>
    <w:p w14:paraId="2A590268" w14:textId="09A6253B" w:rsidR="008E51E8" w:rsidRPr="008E51E8" w:rsidRDefault="008E51E8" w:rsidP="008E51E8">
      <w:pPr>
        <w:pStyle w:val="BodyText"/>
      </w:pPr>
      <w:r w:rsidRPr="008E51E8">
        <w:t xml:space="preserve">The paper presented a careful investigation of the process of fine-tuning and optimization of hyperparameters in adapting the MiniLM-L6-v2 model for the task of semantic sentence similarity using scientific text extracted from the </w:t>
      </w:r>
      <w:proofErr w:type="spellStart"/>
      <w:r w:rsidRPr="008E51E8">
        <w:t>SciTLDR</w:t>
      </w:r>
      <w:proofErr w:type="spellEnd"/>
      <w:r w:rsidRPr="008E51E8">
        <w:t xml:space="preserve"> dataset. In our results, we confirm that while pre-trained models have an excellent foundation in terms of knowledge, the ultimate utility of the resulting tool for end-users-such as students burdened by information overload-depends on precise configuration.</w:t>
      </w:r>
    </w:p>
    <w:p w14:paraId="3AE6E57C" w14:textId="09065385" w:rsidR="009303D9" w:rsidRDefault="00796380" w:rsidP="008E51E8">
      <w:pPr>
        <w:pStyle w:val="BodyText"/>
      </w:pPr>
      <w:r w:rsidRPr="00796380">
        <w:t xml:space="preserve">Experiments showed that models utilizing mean pooling achieved significantly superior and robust results, with Pearson correlation coefficients consistently around 0.91. In stark contrast, using max pooling led to a substantial performance drop, with Pearson correlations falling to approximately 0.53. This strong disparity indicates that averaging feature representations is essential for effective performance in this task. Furthermore, variations in Dropout (DO) and </w:t>
      </w:r>
      <w:r w:rsidR="00EB272A">
        <w:t>Warmup Ratio</w:t>
      </w:r>
      <w:r w:rsidRPr="00796380">
        <w:t xml:space="preserve"> (WR) factors were shown to have only a marginal influence on the final metrics within the optimal mean pooling configuration. Experiment 1 (DO=0.1, WR=0.05, mean pooling) yielded the highest overall correlation, establishing it as the best-performing setting. Future work should build upon this strong foundation by maintaining the superior mean pooling approach while exploring more complex architectural elements, such as different layer configurations or attention mechanisms, to further push the boundaries of predictive accuracy.</w:t>
      </w:r>
    </w:p>
    <w:p w14:paraId="46FE90AD" w14:textId="5C385ABC"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2F011364" w14:textId="1AD05A10"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1833" w14:textId="77777777" w:rsidR="0025668E" w:rsidRDefault="0025668E" w:rsidP="001A3B3D">
      <w:r>
        <w:separator/>
      </w:r>
    </w:p>
  </w:endnote>
  <w:endnote w:type="continuationSeparator" w:id="0">
    <w:p w14:paraId="17B73E44" w14:textId="77777777" w:rsidR="0025668E" w:rsidRDefault="0025668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33E5"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E9FC" w14:textId="77777777" w:rsidR="0025668E" w:rsidRDefault="0025668E" w:rsidP="001A3B3D">
      <w:r>
        <w:separator/>
      </w:r>
    </w:p>
  </w:footnote>
  <w:footnote w:type="continuationSeparator" w:id="0">
    <w:p w14:paraId="72EBA397" w14:textId="77777777" w:rsidR="0025668E" w:rsidRDefault="0025668E"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99186463">
    <w:abstractNumId w:val="14"/>
  </w:num>
  <w:num w:numId="2" w16cid:durableId="313874722">
    <w:abstractNumId w:val="19"/>
  </w:num>
  <w:num w:numId="3" w16cid:durableId="1232276242">
    <w:abstractNumId w:val="13"/>
  </w:num>
  <w:num w:numId="4" w16cid:durableId="1904869846">
    <w:abstractNumId w:val="16"/>
  </w:num>
  <w:num w:numId="5" w16cid:durableId="781536977">
    <w:abstractNumId w:val="16"/>
  </w:num>
  <w:num w:numId="6" w16cid:durableId="1970283756">
    <w:abstractNumId w:val="16"/>
  </w:num>
  <w:num w:numId="7" w16cid:durableId="660237442">
    <w:abstractNumId w:val="16"/>
  </w:num>
  <w:num w:numId="8" w16cid:durableId="30766574">
    <w:abstractNumId w:val="18"/>
  </w:num>
  <w:num w:numId="9" w16cid:durableId="1996255507">
    <w:abstractNumId w:val="20"/>
  </w:num>
  <w:num w:numId="10" w16cid:durableId="879050642">
    <w:abstractNumId w:val="15"/>
  </w:num>
  <w:num w:numId="11" w16cid:durableId="2006395178">
    <w:abstractNumId w:val="12"/>
  </w:num>
  <w:num w:numId="12" w16cid:durableId="1928881594">
    <w:abstractNumId w:val="11"/>
  </w:num>
  <w:num w:numId="13" w16cid:durableId="1295986882">
    <w:abstractNumId w:val="0"/>
  </w:num>
  <w:num w:numId="14" w16cid:durableId="993221663">
    <w:abstractNumId w:val="10"/>
  </w:num>
  <w:num w:numId="15" w16cid:durableId="1485659945">
    <w:abstractNumId w:val="8"/>
  </w:num>
  <w:num w:numId="16" w16cid:durableId="1629163790">
    <w:abstractNumId w:val="7"/>
  </w:num>
  <w:num w:numId="17" w16cid:durableId="74015629">
    <w:abstractNumId w:val="6"/>
  </w:num>
  <w:num w:numId="18" w16cid:durableId="1683506030">
    <w:abstractNumId w:val="5"/>
  </w:num>
  <w:num w:numId="19" w16cid:durableId="516500284">
    <w:abstractNumId w:val="9"/>
  </w:num>
  <w:num w:numId="20" w16cid:durableId="1794784223">
    <w:abstractNumId w:val="4"/>
  </w:num>
  <w:num w:numId="21" w16cid:durableId="466750129">
    <w:abstractNumId w:val="3"/>
  </w:num>
  <w:num w:numId="22" w16cid:durableId="1755322325">
    <w:abstractNumId w:val="2"/>
  </w:num>
  <w:num w:numId="23" w16cid:durableId="2134250272">
    <w:abstractNumId w:val="1"/>
  </w:num>
  <w:num w:numId="24" w16cid:durableId="18562674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NDQzNbEwNjYAAiUdpeDU4uLM/DyQAqNaAOmt5xksAAAA"/>
  </w:docVars>
  <w:rsids>
    <w:rsidRoot w:val="009303D9"/>
    <w:rsid w:val="000109FC"/>
    <w:rsid w:val="00022514"/>
    <w:rsid w:val="00036348"/>
    <w:rsid w:val="0004781E"/>
    <w:rsid w:val="000543FF"/>
    <w:rsid w:val="0005519D"/>
    <w:rsid w:val="00061375"/>
    <w:rsid w:val="000724D6"/>
    <w:rsid w:val="0008758A"/>
    <w:rsid w:val="000931F9"/>
    <w:rsid w:val="000B0961"/>
    <w:rsid w:val="000C1E68"/>
    <w:rsid w:val="000F0B66"/>
    <w:rsid w:val="00101620"/>
    <w:rsid w:val="00111BF1"/>
    <w:rsid w:val="001A2EFD"/>
    <w:rsid w:val="001A3B3D"/>
    <w:rsid w:val="001A55FC"/>
    <w:rsid w:val="001B67DC"/>
    <w:rsid w:val="001C0DC6"/>
    <w:rsid w:val="001C24E6"/>
    <w:rsid w:val="002254A9"/>
    <w:rsid w:val="00233D97"/>
    <w:rsid w:val="002347A2"/>
    <w:rsid w:val="0025668E"/>
    <w:rsid w:val="002850E3"/>
    <w:rsid w:val="002C16CB"/>
    <w:rsid w:val="002D18FB"/>
    <w:rsid w:val="002E7531"/>
    <w:rsid w:val="002F1B09"/>
    <w:rsid w:val="00351835"/>
    <w:rsid w:val="00354FCF"/>
    <w:rsid w:val="00384F9A"/>
    <w:rsid w:val="003A19E2"/>
    <w:rsid w:val="003A5E82"/>
    <w:rsid w:val="003B4E04"/>
    <w:rsid w:val="003C5689"/>
    <w:rsid w:val="003F5A08"/>
    <w:rsid w:val="00420716"/>
    <w:rsid w:val="004325FB"/>
    <w:rsid w:val="004362E0"/>
    <w:rsid w:val="004432BA"/>
    <w:rsid w:val="0044407E"/>
    <w:rsid w:val="00447BB9"/>
    <w:rsid w:val="0046031D"/>
    <w:rsid w:val="00495CD9"/>
    <w:rsid w:val="004C6F48"/>
    <w:rsid w:val="004D72B5"/>
    <w:rsid w:val="00504534"/>
    <w:rsid w:val="00514000"/>
    <w:rsid w:val="005313FB"/>
    <w:rsid w:val="005432FF"/>
    <w:rsid w:val="00551B7F"/>
    <w:rsid w:val="0056610F"/>
    <w:rsid w:val="00570824"/>
    <w:rsid w:val="00575BCA"/>
    <w:rsid w:val="00583003"/>
    <w:rsid w:val="005B0344"/>
    <w:rsid w:val="005B520E"/>
    <w:rsid w:val="005E2800"/>
    <w:rsid w:val="005F16C0"/>
    <w:rsid w:val="005F1BED"/>
    <w:rsid w:val="00605825"/>
    <w:rsid w:val="006451B2"/>
    <w:rsid w:val="00645D22"/>
    <w:rsid w:val="00651A08"/>
    <w:rsid w:val="00654204"/>
    <w:rsid w:val="00656C8A"/>
    <w:rsid w:val="00670434"/>
    <w:rsid w:val="0068476E"/>
    <w:rsid w:val="00690473"/>
    <w:rsid w:val="00690DC5"/>
    <w:rsid w:val="006B6B66"/>
    <w:rsid w:val="006C4221"/>
    <w:rsid w:val="006F6D3D"/>
    <w:rsid w:val="00703DBE"/>
    <w:rsid w:val="00715BEA"/>
    <w:rsid w:val="00740EEA"/>
    <w:rsid w:val="00770329"/>
    <w:rsid w:val="00794804"/>
    <w:rsid w:val="00796380"/>
    <w:rsid w:val="007B33F1"/>
    <w:rsid w:val="007B6DDA"/>
    <w:rsid w:val="007C0308"/>
    <w:rsid w:val="007C2FF2"/>
    <w:rsid w:val="007D6232"/>
    <w:rsid w:val="007F1F99"/>
    <w:rsid w:val="007F768F"/>
    <w:rsid w:val="00807120"/>
    <w:rsid w:val="0080791D"/>
    <w:rsid w:val="0081725C"/>
    <w:rsid w:val="00836367"/>
    <w:rsid w:val="00873603"/>
    <w:rsid w:val="00874076"/>
    <w:rsid w:val="008964C0"/>
    <w:rsid w:val="008A2C7D"/>
    <w:rsid w:val="008C4B23"/>
    <w:rsid w:val="008E51E8"/>
    <w:rsid w:val="008F6E2C"/>
    <w:rsid w:val="009029B4"/>
    <w:rsid w:val="009230AF"/>
    <w:rsid w:val="009303D9"/>
    <w:rsid w:val="00933C64"/>
    <w:rsid w:val="0093787A"/>
    <w:rsid w:val="00972203"/>
    <w:rsid w:val="009C60D7"/>
    <w:rsid w:val="009F1D79"/>
    <w:rsid w:val="00A059B3"/>
    <w:rsid w:val="00A067EE"/>
    <w:rsid w:val="00AE3409"/>
    <w:rsid w:val="00B11A60"/>
    <w:rsid w:val="00B22613"/>
    <w:rsid w:val="00B472ED"/>
    <w:rsid w:val="00B73BE4"/>
    <w:rsid w:val="00B768D1"/>
    <w:rsid w:val="00BA1025"/>
    <w:rsid w:val="00BC3420"/>
    <w:rsid w:val="00BD29F9"/>
    <w:rsid w:val="00BD670B"/>
    <w:rsid w:val="00BE7D3C"/>
    <w:rsid w:val="00BF57A5"/>
    <w:rsid w:val="00BF5FF6"/>
    <w:rsid w:val="00C0207F"/>
    <w:rsid w:val="00C16117"/>
    <w:rsid w:val="00C3075A"/>
    <w:rsid w:val="00C851E6"/>
    <w:rsid w:val="00C919A4"/>
    <w:rsid w:val="00CA4392"/>
    <w:rsid w:val="00CC393F"/>
    <w:rsid w:val="00D03222"/>
    <w:rsid w:val="00D1100A"/>
    <w:rsid w:val="00D2176E"/>
    <w:rsid w:val="00D36D23"/>
    <w:rsid w:val="00D621B5"/>
    <w:rsid w:val="00D632BE"/>
    <w:rsid w:val="00D72D06"/>
    <w:rsid w:val="00D7522C"/>
    <w:rsid w:val="00D7536F"/>
    <w:rsid w:val="00D76668"/>
    <w:rsid w:val="00E07383"/>
    <w:rsid w:val="00E165BC"/>
    <w:rsid w:val="00E402AA"/>
    <w:rsid w:val="00E61E12"/>
    <w:rsid w:val="00E7596C"/>
    <w:rsid w:val="00E878F2"/>
    <w:rsid w:val="00EA0813"/>
    <w:rsid w:val="00EB272A"/>
    <w:rsid w:val="00EC30CF"/>
    <w:rsid w:val="00ED0149"/>
    <w:rsid w:val="00ED361E"/>
    <w:rsid w:val="00EF7DE3"/>
    <w:rsid w:val="00F03103"/>
    <w:rsid w:val="00F15B32"/>
    <w:rsid w:val="00F271DE"/>
    <w:rsid w:val="00F627DA"/>
    <w:rsid w:val="00F7288F"/>
    <w:rsid w:val="00F847A6"/>
    <w:rsid w:val="00F850A2"/>
    <w:rsid w:val="00F92D34"/>
    <w:rsid w:val="00F9441B"/>
    <w:rsid w:val="00FA4C32"/>
    <w:rsid w:val="00FE14D4"/>
    <w:rsid w:val="00FE71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C4AB6"/>
  <w15:chartTrackingRefBased/>
  <w15:docId w15:val="{9079F790-728C-4119-BCFC-1E47CC3B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qFormat/>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ED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C16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sid w:val="001A55FC"/>
    <w:rPr>
      <w:i/>
      <w:i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cf6750-fa67-4ddf-907d-94fc8e3b3ddb"/>
    <lcf76f155ced4ddcb4097134ff3c332f xmlns="1e843a5c-388b-40c7-b5c2-0cb1335beb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6E0AD8AB93B4FBC95E5AFF2B823EC" ma:contentTypeVersion="10" ma:contentTypeDescription="Create a new document." ma:contentTypeScope="" ma:versionID="4cb002dec7df845156af627b78fa3301">
  <xsd:schema xmlns:xsd="http://www.w3.org/2001/XMLSchema" xmlns:xs="http://www.w3.org/2001/XMLSchema" xmlns:p="http://schemas.microsoft.com/office/2006/metadata/properties" xmlns:ns2="1e843a5c-388b-40c7-b5c2-0cb1335beb9f" xmlns:ns3="85cf6750-fa67-4ddf-907d-94fc8e3b3ddb" targetNamespace="http://schemas.microsoft.com/office/2006/metadata/properties" ma:root="true" ma:fieldsID="39f56c7c2d499e72f0aff5ac302582d8" ns2:_="" ns3:_="">
    <xsd:import namespace="1e843a5c-388b-40c7-b5c2-0cb1335beb9f"/>
    <xsd:import namespace="85cf6750-fa67-4ddf-907d-94fc8e3b3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3a5c-388b-40c7-b5c2-0cb1335be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c3850-1993-4f1b-9b4f-d31e9e6f4f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f6750-fa67-4ddf-907d-94fc8e3b3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bfa583-1b9b-4540-8e6c-cea6b43bfba4}" ma:internalName="TaxCatchAll" ma:showField="CatchAllData" ma:web="85cf6750-fa67-4ddf-907d-94fc8e3b3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2BA0-B673-46AB-AD1D-EBAF7F02865D}">
  <ds:schemaRefs>
    <ds:schemaRef ds:uri="http://schemas.microsoft.com/office/2006/metadata/properties"/>
    <ds:schemaRef ds:uri="http://schemas.microsoft.com/office/infopath/2007/PartnerControls"/>
    <ds:schemaRef ds:uri="85cf6750-fa67-4ddf-907d-94fc8e3b3ddb"/>
    <ds:schemaRef ds:uri="1e843a5c-388b-40c7-b5c2-0cb1335beb9f"/>
  </ds:schemaRefs>
</ds:datastoreItem>
</file>

<file path=customXml/itemProps2.xml><?xml version="1.0" encoding="utf-8"?>
<ds:datastoreItem xmlns:ds="http://schemas.openxmlformats.org/officeDocument/2006/customXml" ds:itemID="{B8F2DB5A-25B5-4DB6-A5DC-585825CD1EE9}">
  <ds:schemaRefs>
    <ds:schemaRef ds:uri="http://schemas.microsoft.com/sharepoint/v3/contenttype/forms"/>
  </ds:schemaRefs>
</ds:datastoreItem>
</file>

<file path=customXml/itemProps3.xml><?xml version="1.0" encoding="utf-8"?>
<ds:datastoreItem xmlns:ds="http://schemas.openxmlformats.org/officeDocument/2006/customXml" ds:itemID="{42DE1803-DD7B-4854-BC68-601D4B62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3a5c-388b-40c7-b5c2-0cb1335beb9f"/>
    <ds:schemaRef ds:uri="85cf6750-fa67-4ddf-907d-94fc8e3b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A1AE0-9068-4847-9190-64ADECF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Charles Aaron</cp:lastModifiedBy>
  <cp:revision>49</cp:revision>
  <dcterms:created xsi:type="dcterms:W3CDTF">2025-11-08T12:02:00Z</dcterms:created>
  <dcterms:modified xsi:type="dcterms:W3CDTF">2025-11-08T19:48:00Z</dcterms:modified>
</cp:coreProperties>
</file>